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EC029" w14:textId="77777777" w:rsidR="000B7DF0" w:rsidRPr="00D20227" w:rsidRDefault="000B7DF0" w:rsidP="000B7DF0">
      <w:pPr>
        <w:jc w:val="center"/>
        <w:rPr>
          <w:b/>
          <w:color w:val="336699"/>
          <w:sz w:val="40"/>
          <w:szCs w:val="40"/>
        </w:rPr>
      </w:pPr>
      <w:r w:rsidRPr="00D20227">
        <w:rPr>
          <w:b/>
          <w:color w:val="336699"/>
          <w:sz w:val="40"/>
          <w:szCs w:val="40"/>
        </w:rPr>
        <w:t>POKYNY PRO ZPRACOVÁNÍ PŘÍLOH K NÁVRHU SMLOUVY</w:t>
      </w:r>
    </w:p>
    <w:p w14:paraId="680EC733" w14:textId="77777777" w:rsidR="000B7DF0" w:rsidRDefault="000B7DF0" w:rsidP="00BC0471">
      <w:pPr>
        <w:spacing w:line="288" w:lineRule="auto"/>
        <w:rPr>
          <w:b/>
          <w:color w:val="365F91" w:themeColor="accent1" w:themeShade="BF"/>
          <w:sz w:val="32"/>
          <w:szCs w:val="28"/>
        </w:rPr>
      </w:pPr>
    </w:p>
    <w:p w14:paraId="19FCD55C" w14:textId="77777777" w:rsidR="000B7DF0" w:rsidRDefault="000B7DF0" w:rsidP="00BC0471">
      <w:pPr>
        <w:spacing w:line="288" w:lineRule="auto"/>
        <w:rPr>
          <w:b/>
          <w:color w:val="365F91" w:themeColor="accent1" w:themeShade="BF"/>
          <w:sz w:val="32"/>
          <w:szCs w:val="28"/>
        </w:rPr>
      </w:pPr>
    </w:p>
    <w:p w14:paraId="1391D822" w14:textId="77777777" w:rsidR="00BC0471" w:rsidRPr="00BC0471" w:rsidRDefault="00BC0471" w:rsidP="00BC0471">
      <w:pPr>
        <w:spacing w:line="288" w:lineRule="auto"/>
        <w:rPr>
          <w:b/>
          <w:color w:val="365F91" w:themeColor="accent1" w:themeShade="BF"/>
          <w:sz w:val="32"/>
          <w:szCs w:val="28"/>
        </w:rPr>
      </w:pPr>
      <w:r w:rsidRPr="00BC0471">
        <w:rPr>
          <w:b/>
          <w:color w:val="365F91" w:themeColor="accent1" w:themeShade="BF"/>
          <w:sz w:val="32"/>
          <w:szCs w:val="28"/>
        </w:rPr>
        <w:t>Ú</w:t>
      </w:r>
      <w:r w:rsidR="002200C6">
        <w:rPr>
          <w:b/>
          <w:color w:val="365F91" w:themeColor="accent1" w:themeShade="BF"/>
          <w:sz w:val="32"/>
          <w:szCs w:val="28"/>
        </w:rPr>
        <w:t>vod</w:t>
      </w:r>
    </w:p>
    <w:p w14:paraId="5D1D3C2F" w14:textId="77777777" w:rsidR="00BC0471" w:rsidRPr="00C25C38" w:rsidRDefault="00BC0471" w:rsidP="00BC0471">
      <w:r w:rsidRPr="00C25C38">
        <w:t>Přílohy ke smlouvě o poskytování energetických služeb se zaručeným výsledkem jsou vytvořeny tak, aby popsaly v plném rozsahu projekt, jeho přínosy a detaily realizace.</w:t>
      </w:r>
    </w:p>
    <w:p w14:paraId="459ABAE1" w14:textId="77777777" w:rsidR="002200C6" w:rsidRPr="00C25C38" w:rsidRDefault="00BC0471" w:rsidP="00BC0471">
      <w:r w:rsidRPr="00C25C38">
        <w:t xml:space="preserve">Popis obsahu příloh je uveden jak pro zadavatele výběrového řízení na poskytovatele energetických služeb se zaručeným výsledkem, tak pro standardizaci příloh v nabídkách jednotlivých </w:t>
      </w:r>
      <w:r w:rsidR="008219AD">
        <w:t>dodavatelů</w:t>
      </w:r>
      <w:r w:rsidR="00E01CF5" w:rsidRPr="00C25C38">
        <w:t>.</w:t>
      </w:r>
      <w:r w:rsidRPr="00C25C38">
        <w:t xml:space="preserve"> </w:t>
      </w:r>
    </w:p>
    <w:p w14:paraId="5C00217A" w14:textId="77777777" w:rsidR="00BC0471" w:rsidRPr="00C25C38" w:rsidRDefault="00E01CF5" w:rsidP="00BC0471">
      <w:r w:rsidRPr="00C25C38">
        <w:rPr>
          <w:b/>
        </w:rPr>
        <w:t xml:space="preserve">V rámci nabídek bude </w:t>
      </w:r>
      <w:r w:rsidR="002200C6" w:rsidRPr="00C25C38">
        <w:rPr>
          <w:b/>
        </w:rPr>
        <w:t>obsah kapitol, uvedený v tomto dokumentu,</w:t>
      </w:r>
      <w:r w:rsidRPr="00C25C38">
        <w:rPr>
          <w:b/>
        </w:rPr>
        <w:t xml:space="preserve"> uchazečem</w:t>
      </w:r>
      <w:r w:rsidR="00BC0471" w:rsidRPr="00C25C38">
        <w:rPr>
          <w:b/>
        </w:rPr>
        <w:t xml:space="preserve"> </w:t>
      </w:r>
      <w:r w:rsidRPr="00C25C38">
        <w:rPr>
          <w:b/>
        </w:rPr>
        <w:t>nahrazen</w:t>
      </w:r>
      <w:r w:rsidR="00BC0471" w:rsidRPr="00C25C38">
        <w:rPr>
          <w:b/>
        </w:rPr>
        <w:t xml:space="preserve"> </w:t>
      </w:r>
      <w:r w:rsidR="00D20227" w:rsidRPr="00C25C38">
        <w:rPr>
          <w:b/>
        </w:rPr>
        <w:br/>
      </w:r>
      <w:r w:rsidR="00BC0471" w:rsidRPr="00C25C38">
        <w:rPr>
          <w:b/>
        </w:rPr>
        <w:t xml:space="preserve">v </w:t>
      </w:r>
      <w:r w:rsidR="002200C6" w:rsidRPr="00C25C38">
        <w:rPr>
          <w:b/>
        </w:rPr>
        <w:t>požadovaném</w:t>
      </w:r>
      <w:r w:rsidR="00BC0471" w:rsidRPr="00C25C38">
        <w:rPr>
          <w:b/>
        </w:rPr>
        <w:t xml:space="preserve"> rozsahu konkrétními údaji daného projektu</w:t>
      </w:r>
      <w:r w:rsidR="00BC0471" w:rsidRPr="00C25C38">
        <w:t>.</w:t>
      </w:r>
    </w:p>
    <w:p w14:paraId="0C113A10" w14:textId="77777777" w:rsidR="000B7DF0" w:rsidRDefault="000B7DF0" w:rsidP="00BC0471"/>
    <w:p w14:paraId="0BED2B24" w14:textId="77777777" w:rsidR="000B7DF0" w:rsidRDefault="000B7DF0" w:rsidP="00BC0471">
      <w:pPr>
        <w:rPr>
          <w:b/>
          <w:color w:val="365F91" w:themeColor="accent1" w:themeShade="BF"/>
          <w:sz w:val="32"/>
          <w:szCs w:val="28"/>
        </w:rPr>
      </w:pPr>
    </w:p>
    <w:p w14:paraId="249CC7D1" w14:textId="77777777" w:rsidR="00E37CA1" w:rsidRPr="00E37CA1" w:rsidRDefault="00E37CA1" w:rsidP="00E37CA1">
      <w:pPr>
        <w:spacing w:line="288" w:lineRule="auto"/>
        <w:rPr>
          <w:b/>
          <w:color w:val="365F91" w:themeColor="accent1" w:themeShade="BF"/>
          <w:sz w:val="32"/>
          <w:szCs w:val="28"/>
        </w:rPr>
      </w:pPr>
      <w:r w:rsidRPr="00E37CA1">
        <w:rPr>
          <w:b/>
          <w:color w:val="365F91" w:themeColor="accent1" w:themeShade="BF"/>
          <w:sz w:val="32"/>
          <w:szCs w:val="28"/>
        </w:rPr>
        <w:t>Obsah</w:t>
      </w:r>
    </w:p>
    <w:p w14:paraId="714F14EB" w14:textId="25B3B3F5" w:rsidR="00DE26F6" w:rsidRDefault="00CF1AB5">
      <w:pPr>
        <w:pStyle w:val="Obsah1"/>
        <w:rPr>
          <w:rFonts w:eastAsiaTheme="minorEastAsia" w:cstheme="minorBidi"/>
        </w:rPr>
      </w:pPr>
      <w:r w:rsidRPr="00444BB7">
        <w:rPr>
          <w:b/>
          <w:bCs/>
          <w:caps/>
          <w:sz w:val="24"/>
          <w:szCs w:val="28"/>
        </w:rPr>
        <w:fldChar w:fldCharType="begin"/>
      </w:r>
      <w:r w:rsidR="00E37CA1" w:rsidRPr="00444BB7">
        <w:rPr>
          <w:szCs w:val="28"/>
        </w:rPr>
        <w:instrText xml:space="preserve"> TOC \o "1-1" \h \z \t "Nadpis 2;2;Nadpis 3;3" </w:instrText>
      </w:r>
      <w:r w:rsidRPr="00444BB7">
        <w:rPr>
          <w:b/>
          <w:bCs/>
          <w:caps/>
          <w:sz w:val="24"/>
          <w:szCs w:val="28"/>
        </w:rPr>
        <w:fldChar w:fldCharType="separate"/>
      </w:r>
      <w:hyperlink w:anchor="_Toc56442116" w:history="1">
        <w:r w:rsidR="00DE26F6" w:rsidRPr="00D10A43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DE26F6" w:rsidRPr="00D10A43">
          <w:rPr>
            <w:rStyle w:val="Hypertextovodkaz"/>
          </w:rPr>
          <w:t xml:space="preserve"> Příloha č. 1: Popis výchozího stavu včetně referenční spotřeby  a referenčních nákladů</w:t>
        </w:r>
        <w:r w:rsidR="00DE26F6">
          <w:rPr>
            <w:webHidden/>
          </w:rPr>
          <w:tab/>
        </w:r>
        <w:r w:rsidR="00DE26F6">
          <w:rPr>
            <w:webHidden/>
          </w:rPr>
          <w:fldChar w:fldCharType="begin"/>
        </w:r>
        <w:r w:rsidR="00DE26F6">
          <w:rPr>
            <w:webHidden/>
          </w:rPr>
          <w:instrText xml:space="preserve"> PAGEREF _Toc56442116 \h </w:instrText>
        </w:r>
        <w:r w:rsidR="00DE26F6">
          <w:rPr>
            <w:webHidden/>
          </w:rPr>
        </w:r>
        <w:r w:rsidR="00DE26F6">
          <w:rPr>
            <w:webHidden/>
          </w:rPr>
          <w:fldChar w:fldCharType="separate"/>
        </w:r>
        <w:r w:rsidR="00DE26F6">
          <w:rPr>
            <w:webHidden/>
          </w:rPr>
          <w:t>2</w:t>
        </w:r>
        <w:r w:rsidR="00DE26F6">
          <w:rPr>
            <w:webHidden/>
          </w:rPr>
          <w:fldChar w:fldCharType="end"/>
        </w:r>
      </w:hyperlink>
    </w:p>
    <w:p w14:paraId="01E281CC" w14:textId="61FA5A39" w:rsidR="00DE26F6" w:rsidRDefault="00D634A5">
      <w:pPr>
        <w:pStyle w:val="Obsah1"/>
        <w:rPr>
          <w:rFonts w:eastAsiaTheme="minorEastAsia" w:cstheme="minorBidi"/>
        </w:rPr>
      </w:pPr>
      <w:hyperlink w:anchor="_Toc56442117" w:history="1">
        <w:r w:rsidR="00DE26F6" w:rsidRPr="00D10A43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DE26F6" w:rsidRPr="00D10A43">
          <w:rPr>
            <w:rStyle w:val="Hypertextovodkaz"/>
          </w:rPr>
          <w:t xml:space="preserve"> Příloha č. 2: Popis základních opatření</w:t>
        </w:r>
        <w:r w:rsidR="00DE26F6">
          <w:rPr>
            <w:webHidden/>
          </w:rPr>
          <w:tab/>
        </w:r>
        <w:r w:rsidR="00DE26F6">
          <w:rPr>
            <w:webHidden/>
          </w:rPr>
          <w:fldChar w:fldCharType="begin"/>
        </w:r>
        <w:r w:rsidR="00DE26F6">
          <w:rPr>
            <w:webHidden/>
          </w:rPr>
          <w:instrText xml:space="preserve"> PAGEREF _Toc56442117 \h </w:instrText>
        </w:r>
        <w:r w:rsidR="00DE26F6">
          <w:rPr>
            <w:webHidden/>
          </w:rPr>
        </w:r>
        <w:r w:rsidR="00DE26F6">
          <w:rPr>
            <w:webHidden/>
          </w:rPr>
          <w:fldChar w:fldCharType="separate"/>
        </w:r>
        <w:r w:rsidR="00DE26F6">
          <w:rPr>
            <w:webHidden/>
          </w:rPr>
          <w:t>3</w:t>
        </w:r>
        <w:r w:rsidR="00DE26F6">
          <w:rPr>
            <w:webHidden/>
          </w:rPr>
          <w:fldChar w:fldCharType="end"/>
        </w:r>
      </w:hyperlink>
    </w:p>
    <w:p w14:paraId="699A1D7D" w14:textId="686E5E0E" w:rsidR="00DE26F6" w:rsidRDefault="00D634A5">
      <w:pPr>
        <w:pStyle w:val="Obsah1"/>
        <w:rPr>
          <w:rFonts w:eastAsiaTheme="minorEastAsia" w:cstheme="minorBidi"/>
        </w:rPr>
      </w:pPr>
      <w:hyperlink w:anchor="_Toc56442118" w:history="1">
        <w:r w:rsidR="00DE26F6" w:rsidRPr="00D10A43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DE26F6" w:rsidRPr="00D10A43">
          <w:rPr>
            <w:rStyle w:val="Hypertextovodkaz"/>
          </w:rPr>
          <w:t xml:space="preserve"> Příloha č. 3: Cena a její úhrada</w:t>
        </w:r>
        <w:r w:rsidR="00DE26F6">
          <w:rPr>
            <w:webHidden/>
          </w:rPr>
          <w:tab/>
        </w:r>
        <w:r w:rsidR="00DE26F6">
          <w:rPr>
            <w:webHidden/>
          </w:rPr>
          <w:fldChar w:fldCharType="begin"/>
        </w:r>
        <w:r w:rsidR="00DE26F6">
          <w:rPr>
            <w:webHidden/>
          </w:rPr>
          <w:instrText xml:space="preserve"> PAGEREF _Toc56442118 \h </w:instrText>
        </w:r>
        <w:r w:rsidR="00DE26F6">
          <w:rPr>
            <w:webHidden/>
          </w:rPr>
        </w:r>
        <w:r w:rsidR="00DE26F6">
          <w:rPr>
            <w:webHidden/>
          </w:rPr>
          <w:fldChar w:fldCharType="separate"/>
        </w:r>
        <w:r w:rsidR="00DE26F6">
          <w:rPr>
            <w:webHidden/>
          </w:rPr>
          <w:t>5</w:t>
        </w:r>
        <w:r w:rsidR="00DE26F6">
          <w:rPr>
            <w:webHidden/>
          </w:rPr>
          <w:fldChar w:fldCharType="end"/>
        </w:r>
      </w:hyperlink>
    </w:p>
    <w:p w14:paraId="586A2EF6" w14:textId="79FCC889" w:rsidR="00DE26F6" w:rsidRDefault="00D634A5">
      <w:pPr>
        <w:pStyle w:val="Obsah1"/>
        <w:rPr>
          <w:rFonts w:eastAsiaTheme="minorEastAsia" w:cstheme="minorBidi"/>
        </w:rPr>
      </w:pPr>
      <w:hyperlink w:anchor="_Toc56442119" w:history="1">
        <w:r w:rsidR="00DE26F6" w:rsidRPr="00D10A43">
          <w:rPr>
            <w:rStyle w:val="Hypertextovodkaz"/>
            <w:rFonts w:eastAsia="Calibri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DE26F6" w:rsidRPr="00D10A43">
          <w:rPr>
            <w:rStyle w:val="Hypertextovodkaz"/>
          </w:rPr>
          <w:t xml:space="preserve"> Příloha č. 4: Harmonogram realizace projektu</w:t>
        </w:r>
        <w:r w:rsidR="00DE26F6">
          <w:rPr>
            <w:webHidden/>
          </w:rPr>
          <w:tab/>
        </w:r>
        <w:r w:rsidR="00DE26F6">
          <w:rPr>
            <w:webHidden/>
          </w:rPr>
          <w:fldChar w:fldCharType="begin"/>
        </w:r>
        <w:r w:rsidR="00DE26F6">
          <w:rPr>
            <w:webHidden/>
          </w:rPr>
          <w:instrText xml:space="preserve"> PAGEREF _Toc56442119 \h </w:instrText>
        </w:r>
        <w:r w:rsidR="00DE26F6">
          <w:rPr>
            <w:webHidden/>
          </w:rPr>
        </w:r>
        <w:r w:rsidR="00DE26F6">
          <w:rPr>
            <w:webHidden/>
          </w:rPr>
          <w:fldChar w:fldCharType="separate"/>
        </w:r>
        <w:r w:rsidR="00DE26F6">
          <w:rPr>
            <w:webHidden/>
          </w:rPr>
          <w:t>6</w:t>
        </w:r>
        <w:r w:rsidR="00DE26F6">
          <w:rPr>
            <w:webHidden/>
          </w:rPr>
          <w:fldChar w:fldCharType="end"/>
        </w:r>
      </w:hyperlink>
    </w:p>
    <w:p w14:paraId="7C986915" w14:textId="257DDE29" w:rsidR="00DE26F6" w:rsidRDefault="00D634A5">
      <w:pPr>
        <w:pStyle w:val="Obsah1"/>
        <w:rPr>
          <w:rFonts w:eastAsiaTheme="minorEastAsia" w:cstheme="minorBidi"/>
        </w:rPr>
      </w:pPr>
      <w:hyperlink w:anchor="_Toc56442120" w:history="1">
        <w:r w:rsidR="00DE26F6" w:rsidRPr="00D10A43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DE26F6" w:rsidRPr="00D10A43">
          <w:rPr>
            <w:rStyle w:val="Hypertextovodkaz"/>
          </w:rPr>
          <w:t xml:space="preserve"> Příloha č. 5: Výše garantované úspory, sankce za nedosažení garantované úspory a prémie za překročení garantované úspory</w:t>
        </w:r>
        <w:r w:rsidR="00DE26F6">
          <w:rPr>
            <w:webHidden/>
          </w:rPr>
          <w:tab/>
        </w:r>
        <w:r w:rsidR="00DE26F6">
          <w:rPr>
            <w:webHidden/>
          </w:rPr>
          <w:fldChar w:fldCharType="begin"/>
        </w:r>
        <w:r w:rsidR="00DE26F6">
          <w:rPr>
            <w:webHidden/>
          </w:rPr>
          <w:instrText xml:space="preserve"> PAGEREF _Toc56442120 \h </w:instrText>
        </w:r>
        <w:r w:rsidR="00DE26F6">
          <w:rPr>
            <w:webHidden/>
          </w:rPr>
        </w:r>
        <w:r w:rsidR="00DE26F6">
          <w:rPr>
            <w:webHidden/>
          </w:rPr>
          <w:fldChar w:fldCharType="separate"/>
        </w:r>
        <w:r w:rsidR="00DE26F6">
          <w:rPr>
            <w:webHidden/>
          </w:rPr>
          <w:t>7</w:t>
        </w:r>
        <w:r w:rsidR="00DE26F6">
          <w:rPr>
            <w:webHidden/>
          </w:rPr>
          <w:fldChar w:fldCharType="end"/>
        </w:r>
      </w:hyperlink>
    </w:p>
    <w:p w14:paraId="7E044309" w14:textId="098A226B" w:rsidR="00DE26F6" w:rsidRDefault="00D634A5">
      <w:pPr>
        <w:pStyle w:val="Obsah1"/>
        <w:rPr>
          <w:rFonts w:eastAsiaTheme="minorEastAsia" w:cstheme="minorBidi"/>
        </w:rPr>
      </w:pPr>
      <w:hyperlink w:anchor="_Toc56442121" w:history="1">
        <w:r w:rsidR="00DE26F6" w:rsidRPr="00D10A43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DE26F6" w:rsidRPr="00D10A43">
          <w:rPr>
            <w:rStyle w:val="Hypertextovodkaz"/>
          </w:rPr>
          <w:t xml:space="preserve"> Příloha č. 6: Vyhodnocování dosažených úspor</w:t>
        </w:r>
        <w:r w:rsidR="00DE26F6">
          <w:rPr>
            <w:webHidden/>
          </w:rPr>
          <w:tab/>
        </w:r>
        <w:r w:rsidR="00DE26F6">
          <w:rPr>
            <w:webHidden/>
          </w:rPr>
          <w:fldChar w:fldCharType="begin"/>
        </w:r>
        <w:r w:rsidR="00DE26F6">
          <w:rPr>
            <w:webHidden/>
          </w:rPr>
          <w:instrText xml:space="preserve"> PAGEREF _Toc56442121 \h </w:instrText>
        </w:r>
        <w:r w:rsidR="00DE26F6">
          <w:rPr>
            <w:webHidden/>
          </w:rPr>
        </w:r>
        <w:r w:rsidR="00DE26F6">
          <w:rPr>
            <w:webHidden/>
          </w:rPr>
          <w:fldChar w:fldCharType="separate"/>
        </w:r>
        <w:r w:rsidR="00DE26F6">
          <w:rPr>
            <w:webHidden/>
          </w:rPr>
          <w:t>8</w:t>
        </w:r>
        <w:r w:rsidR="00DE26F6">
          <w:rPr>
            <w:webHidden/>
          </w:rPr>
          <w:fldChar w:fldCharType="end"/>
        </w:r>
      </w:hyperlink>
    </w:p>
    <w:p w14:paraId="048CAC94" w14:textId="2B4B2C7E" w:rsidR="00DE26F6" w:rsidRDefault="00D634A5">
      <w:pPr>
        <w:pStyle w:val="Obsah1"/>
        <w:rPr>
          <w:rFonts w:eastAsiaTheme="minorEastAsia" w:cstheme="minorBidi"/>
        </w:rPr>
      </w:pPr>
      <w:hyperlink w:anchor="_Toc56442122" w:history="1">
        <w:r w:rsidR="00DE26F6" w:rsidRPr="00D10A43">
          <w:rPr>
            <w:rStyle w:val="Hypertextovodkaz"/>
            <w:rFonts w:eastAsia="Calibri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DE26F6" w:rsidRPr="00D10A43">
          <w:rPr>
            <w:rStyle w:val="Hypertextovodkaz"/>
          </w:rPr>
          <w:t xml:space="preserve"> Příloha č. 7: Energetický management</w:t>
        </w:r>
        <w:r w:rsidR="00DE26F6">
          <w:rPr>
            <w:webHidden/>
          </w:rPr>
          <w:tab/>
        </w:r>
        <w:r w:rsidR="00DE26F6">
          <w:rPr>
            <w:webHidden/>
          </w:rPr>
          <w:fldChar w:fldCharType="begin"/>
        </w:r>
        <w:r w:rsidR="00DE26F6">
          <w:rPr>
            <w:webHidden/>
          </w:rPr>
          <w:instrText xml:space="preserve"> PAGEREF _Toc56442122 \h </w:instrText>
        </w:r>
        <w:r w:rsidR="00DE26F6">
          <w:rPr>
            <w:webHidden/>
          </w:rPr>
        </w:r>
        <w:r w:rsidR="00DE26F6">
          <w:rPr>
            <w:webHidden/>
          </w:rPr>
          <w:fldChar w:fldCharType="separate"/>
        </w:r>
        <w:r w:rsidR="00DE26F6">
          <w:rPr>
            <w:webHidden/>
          </w:rPr>
          <w:t>13</w:t>
        </w:r>
        <w:r w:rsidR="00DE26F6">
          <w:rPr>
            <w:webHidden/>
          </w:rPr>
          <w:fldChar w:fldCharType="end"/>
        </w:r>
      </w:hyperlink>
    </w:p>
    <w:p w14:paraId="23C56A6E" w14:textId="3C877C4A" w:rsidR="00DE26F6" w:rsidRDefault="00D634A5">
      <w:pPr>
        <w:pStyle w:val="Obsah1"/>
        <w:rPr>
          <w:rFonts w:eastAsiaTheme="minorEastAsia" w:cstheme="minorBidi"/>
        </w:rPr>
      </w:pPr>
      <w:hyperlink w:anchor="_Toc56442123" w:history="1">
        <w:r w:rsidR="00DE26F6" w:rsidRPr="00D10A43">
          <w:rPr>
            <w:rStyle w:val="Hypertextovodkaz"/>
            <w:rFonts w:eastAsia="Calibri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</w:t>
        </w:r>
        <w:r w:rsidR="00DE26F6" w:rsidRPr="00D10A43">
          <w:rPr>
            <w:rStyle w:val="Hypertextovodkaz"/>
          </w:rPr>
          <w:t xml:space="preserve"> Příloha č. 8: Oprávněné osoby</w:t>
        </w:r>
        <w:r w:rsidR="00DE26F6">
          <w:rPr>
            <w:webHidden/>
          </w:rPr>
          <w:tab/>
        </w:r>
        <w:r w:rsidR="00DE26F6">
          <w:rPr>
            <w:webHidden/>
          </w:rPr>
          <w:fldChar w:fldCharType="begin"/>
        </w:r>
        <w:r w:rsidR="00DE26F6">
          <w:rPr>
            <w:webHidden/>
          </w:rPr>
          <w:instrText xml:space="preserve"> PAGEREF _Toc56442123 \h </w:instrText>
        </w:r>
        <w:r w:rsidR="00DE26F6">
          <w:rPr>
            <w:webHidden/>
          </w:rPr>
        </w:r>
        <w:r w:rsidR="00DE26F6">
          <w:rPr>
            <w:webHidden/>
          </w:rPr>
          <w:fldChar w:fldCharType="separate"/>
        </w:r>
        <w:r w:rsidR="00DE26F6">
          <w:rPr>
            <w:webHidden/>
          </w:rPr>
          <w:t>14</w:t>
        </w:r>
        <w:r w:rsidR="00DE26F6">
          <w:rPr>
            <w:webHidden/>
          </w:rPr>
          <w:fldChar w:fldCharType="end"/>
        </w:r>
      </w:hyperlink>
    </w:p>
    <w:p w14:paraId="6790CE6F" w14:textId="08C75D45" w:rsidR="00DE26F6" w:rsidRDefault="00D634A5">
      <w:pPr>
        <w:pStyle w:val="Obsah1"/>
        <w:rPr>
          <w:rFonts w:eastAsiaTheme="minorEastAsia" w:cstheme="minorBidi"/>
        </w:rPr>
      </w:pPr>
      <w:hyperlink w:anchor="_Toc56442124" w:history="1">
        <w:r w:rsidR="00DE26F6" w:rsidRPr="00D10A43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</w:t>
        </w:r>
        <w:r w:rsidR="00DE26F6" w:rsidRPr="00D10A43">
          <w:rPr>
            <w:rStyle w:val="Hypertextovodkaz"/>
          </w:rPr>
          <w:t xml:space="preserve"> Příloha č. 9: Seznam poddodavatelů</w:t>
        </w:r>
        <w:r w:rsidR="00DE26F6">
          <w:rPr>
            <w:webHidden/>
          </w:rPr>
          <w:tab/>
        </w:r>
        <w:r w:rsidR="00DE26F6">
          <w:rPr>
            <w:webHidden/>
          </w:rPr>
          <w:fldChar w:fldCharType="begin"/>
        </w:r>
        <w:r w:rsidR="00DE26F6">
          <w:rPr>
            <w:webHidden/>
          </w:rPr>
          <w:instrText xml:space="preserve"> PAGEREF _Toc56442124 \h </w:instrText>
        </w:r>
        <w:r w:rsidR="00DE26F6">
          <w:rPr>
            <w:webHidden/>
          </w:rPr>
        </w:r>
        <w:r w:rsidR="00DE26F6">
          <w:rPr>
            <w:webHidden/>
          </w:rPr>
          <w:fldChar w:fldCharType="separate"/>
        </w:r>
        <w:r w:rsidR="00DE26F6">
          <w:rPr>
            <w:webHidden/>
          </w:rPr>
          <w:t>15</w:t>
        </w:r>
        <w:r w:rsidR="00DE26F6">
          <w:rPr>
            <w:webHidden/>
          </w:rPr>
          <w:fldChar w:fldCharType="end"/>
        </w:r>
      </w:hyperlink>
    </w:p>
    <w:p w14:paraId="57119091" w14:textId="564D5F55" w:rsidR="00E37CA1" w:rsidRPr="00444BB7" w:rsidRDefault="00CF1AB5" w:rsidP="00E37CA1">
      <w:pPr>
        <w:rPr>
          <w:rFonts w:ascii="Calibri" w:hAnsi="Calibri"/>
          <w:szCs w:val="22"/>
        </w:rPr>
      </w:pPr>
      <w:r w:rsidRPr="00444BB7">
        <w:rPr>
          <w:rFonts w:ascii="Verdana" w:hAnsi="Verdana"/>
          <w:sz w:val="20"/>
          <w:szCs w:val="22"/>
        </w:rPr>
        <w:fldChar w:fldCharType="end"/>
      </w:r>
    </w:p>
    <w:p w14:paraId="57E3DFB8" w14:textId="77777777" w:rsidR="00E37CA1" w:rsidRDefault="00E37CA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0" w:name="_Toc341474538"/>
      <w:r>
        <w:br w:type="page"/>
      </w:r>
    </w:p>
    <w:p w14:paraId="5C0A75E7" w14:textId="77777777" w:rsidR="00E37CA1" w:rsidRPr="00FF6E77" w:rsidRDefault="00E37CA1" w:rsidP="00FF6E77">
      <w:pPr>
        <w:pStyle w:val="Nadpis1"/>
      </w:pPr>
      <w:bookmarkStart w:id="1" w:name="_Toc56442116"/>
      <w:r w:rsidRPr="00FF6E77">
        <w:lastRenderedPageBreak/>
        <w:t xml:space="preserve">Příloha č. 1: Popis výchozího stavu včetně referenční spotřeby </w:t>
      </w:r>
      <w:r w:rsidR="00D20227" w:rsidRPr="00FF6E77">
        <w:br/>
      </w:r>
      <w:r w:rsidRPr="00FF6E77">
        <w:t>a referenčních nákladů</w:t>
      </w:r>
      <w:bookmarkEnd w:id="0"/>
      <w:bookmarkEnd w:id="1"/>
    </w:p>
    <w:p w14:paraId="1859F384" w14:textId="258FEAF3" w:rsidR="00E37CA1" w:rsidRPr="00C25C38" w:rsidRDefault="00E37CA1" w:rsidP="00E37CA1">
      <w:r w:rsidRPr="00C25C38">
        <w:t xml:space="preserve">Tato příloha </w:t>
      </w:r>
      <w:r w:rsidR="00F81DA8">
        <w:t>bude obsahovat</w:t>
      </w:r>
      <w:r w:rsidRPr="00C25C38">
        <w:t xml:space="preserve"> </w:t>
      </w:r>
      <w:r w:rsidRPr="00C25C38">
        <w:rPr>
          <w:b/>
        </w:rPr>
        <w:t>popis</w:t>
      </w:r>
      <w:bookmarkStart w:id="2" w:name="_GoBack"/>
      <w:bookmarkEnd w:id="2"/>
      <w:r w:rsidRPr="00C25C38">
        <w:rPr>
          <w:b/>
        </w:rPr>
        <w:t xml:space="preserve"> výchozího </w:t>
      </w:r>
      <w:r w:rsidR="00F81DA8">
        <w:rPr>
          <w:b/>
        </w:rPr>
        <w:t xml:space="preserve">neboli referenčního </w:t>
      </w:r>
      <w:r w:rsidR="00F81DA8" w:rsidRPr="00C25C38">
        <w:rPr>
          <w:b/>
        </w:rPr>
        <w:t xml:space="preserve">stavu </w:t>
      </w:r>
      <w:r w:rsidRPr="00C25C38">
        <w:rPr>
          <w:b/>
        </w:rPr>
        <w:t>(tj. stavu před realizací opatření dle této smlouvy) ve spotřebě paliv a energie v objektech a zařízeních, které jsou předmětem plnění smlouvy o poskytování energetických služeb se zaručeným výsledkem.</w:t>
      </w:r>
      <w:r w:rsidRPr="00C25C38">
        <w:t xml:space="preserve">  </w:t>
      </w:r>
    </w:p>
    <w:p w14:paraId="4DDFC533" w14:textId="25C0D86F" w:rsidR="00E37CA1" w:rsidRPr="00C25C38" w:rsidRDefault="00E37CA1" w:rsidP="00E37CA1">
      <w:pPr>
        <w:rPr>
          <w:b/>
        </w:rPr>
      </w:pPr>
      <w:r w:rsidRPr="00C25C38">
        <w:rPr>
          <w:b/>
        </w:rPr>
        <w:t>Obsah přílohy vychází ze zadávací dokumentace a dodatečných informací, podkladů a dokumentů, poskytnutých zadavatelem. Příloha</w:t>
      </w:r>
      <w:r w:rsidR="00F81DA8">
        <w:rPr>
          <w:b/>
        </w:rPr>
        <w:t xml:space="preserve"> bude</w:t>
      </w:r>
      <w:r w:rsidRPr="00C25C38">
        <w:rPr>
          <w:b/>
        </w:rPr>
        <w:t xml:space="preserve"> obsah</w:t>
      </w:r>
      <w:r w:rsidR="00F81DA8">
        <w:rPr>
          <w:b/>
        </w:rPr>
        <w:t>ovat</w:t>
      </w:r>
      <w:r w:rsidRPr="00C25C38">
        <w:rPr>
          <w:b/>
        </w:rPr>
        <w:t xml:space="preserve"> minimálně:</w:t>
      </w:r>
    </w:p>
    <w:p w14:paraId="1C9D22DA" w14:textId="77777777" w:rsidR="00E37CA1" w:rsidRPr="00C25C38" w:rsidRDefault="00E37CA1" w:rsidP="00E44CF9">
      <w:pPr>
        <w:pStyle w:val="Odstavecseseznamem"/>
        <w:numPr>
          <w:ilvl w:val="0"/>
          <w:numId w:val="6"/>
        </w:numPr>
      </w:pPr>
      <w:r w:rsidRPr="00C25C38">
        <w:t>seznam objektů, jejich adresy,</w:t>
      </w:r>
    </w:p>
    <w:p w14:paraId="534EB932" w14:textId="77777777" w:rsidR="00E37CA1" w:rsidRPr="00C25C38" w:rsidRDefault="00E37CA1" w:rsidP="00E44CF9">
      <w:pPr>
        <w:pStyle w:val="Odstavecseseznamem"/>
        <w:numPr>
          <w:ilvl w:val="0"/>
          <w:numId w:val="6"/>
        </w:numPr>
      </w:pPr>
      <w:r w:rsidRPr="00C25C38">
        <w:t xml:space="preserve">popis objektů a jejich charakteristika (stáří objektu, provedené rekonstrukce a modernizace </w:t>
      </w:r>
      <w:r w:rsidR="00D20227" w:rsidRPr="00C25C38">
        <w:br/>
      </w:r>
      <w:r w:rsidRPr="00C25C38">
        <w:t>s datem provedení, další údaje např. podlahová plocha, které se dotknou navržená energeticky úsporná opatření, apod.)</w:t>
      </w:r>
    </w:p>
    <w:p w14:paraId="0E238F41" w14:textId="77777777" w:rsidR="00E37CA1" w:rsidRPr="00C25C38" w:rsidRDefault="00E37CA1" w:rsidP="00E44CF9">
      <w:pPr>
        <w:pStyle w:val="Odstavecseseznamem"/>
        <w:numPr>
          <w:ilvl w:val="0"/>
          <w:numId w:val="6"/>
        </w:numPr>
      </w:pPr>
      <w:r w:rsidRPr="00C25C38">
        <w:t xml:space="preserve">popis instalovaných technologií, způsobu vytápění, větrání, chlazení, osvětlení, apod. </w:t>
      </w:r>
      <w:r w:rsidR="00D20227" w:rsidRPr="00C25C38">
        <w:br/>
      </w:r>
      <w:r w:rsidRPr="00C25C38">
        <w:t>a souvisejících zařízení,</w:t>
      </w:r>
    </w:p>
    <w:p w14:paraId="053B6D29" w14:textId="77777777" w:rsidR="00E37CA1" w:rsidRPr="00C25C38" w:rsidRDefault="00E37CA1" w:rsidP="00E44CF9">
      <w:pPr>
        <w:pStyle w:val="Odstavecseseznamem"/>
        <w:numPr>
          <w:ilvl w:val="0"/>
          <w:numId w:val="6"/>
        </w:numPr>
      </w:pPr>
      <w:r w:rsidRPr="00C25C38">
        <w:t>způsob provozování objektů a relevantní údaje o provozu</w:t>
      </w:r>
    </w:p>
    <w:p w14:paraId="53D76861" w14:textId="77777777" w:rsidR="00E37CA1" w:rsidRPr="00C25C38" w:rsidRDefault="00E37CA1" w:rsidP="00E44CF9">
      <w:pPr>
        <w:pStyle w:val="Odstavecseseznamem"/>
        <w:numPr>
          <w:ilvl w:val="0"/>
          <w:numId w:val="6"/>
        </w:numPr>
      </w:pPr>
      <w:r w:rsidRPr="00C25C38">
        <w:rPr>
          <w:b/>
        </w:rPr>
        <w:t>referenční spotřeba paliv, vody a energie,</w:t>
      </w:r>
      <w:r w:rsidRPr="00C25C38">
        <w:t xml:space="preserve"> ve formě tabulky s referenčními hodnotami spotřeby paliv, energie a vody a nákladů na ně, nejlépe podle jednotlivých objektů. Spotřeba bude rozdělena na spotřebu teplotně závislou a nezávislou. Spotřeby budou uvedeny po měsících, dle fakturovaných údajů.</w:t>
      </w:r>
    </w:p>
    <w:p w14:paraId="09CC2AB5" w14:textId="77777777" w:rsidR="00E37CA1" w:rsidRPr="00C25C38" w:rsidRDefault="00E37CA1" w:rsidP="00E44CF9">
      <w:pPr>
        <w:pStyle w:val="Odstavecseseznamem"/>
        <w:numPr>
          <w:ilvl w:val="0"/>
          <w:numId w:val="6"/>
        </w:numPr>
        <w:rPr>
          <w:b/>
        </w:rPr>
      </w:pPr>
      <w:r w:rsidRPr="00C25C38">
        <w:rPr>
          <w:b/>
        </w:rPr>
        <w:t>ostatní provozní náklady (relevantní k předmětu plnění) v referenčním období v ročním členění</w:t>
      </w:r>
    </w:p>
    <w:p w14:paraId="788F1095" w14:textId="77777777" w:rsidR="00E37CA1" w:rsidRPr="00C25C38" w:rsidRDefault="00E37CA1" w:rsidP="00E44CF9">
      <w:pPr>
        <w:pStyle w:val="Odstavecseseznamem"/>
        <w:numPr>
          <w:ilvl w:val="0"/>
          <w:numId w:val="6"/>
        </w:numPr>
        <w:rPr>
          <w:b/>
        </w:rPr>
      </w:pPr>
      <w:r w:rsidRPr="00C25C38">
        <w:rPr>
          <w:b/>
        </w:rPr>
        <w:t>výchozí provozní podmínky, příp. „běžné“ podmínky provozování, pro jednotlivé objekty</w:t>
      </w:r>
    </w:p>
    <w:p w14:paraId="237C1220" w14:textId="77777777" w:rsidR="00E37CA1" w:rsidRPr="00C25C38" w:rsidRDefault="00E37CA1" w:rsidP="00E44CF9">
      <w:pPr>
        <w:pStyle w:val="Odstavecseseznamem"/>
        <w:numPr>
          <w:ilvl w:val="0"/>
          <w:numId w:val="6"/>
        </w:numPr>
        <w:rPr>
          <w:b/>
        </w:rPr>
      </w:pPr>
      <w:r w:rsidRPr="00C25C38">
        <w:rPr>
          <w:b/>
        </w:rPr>
        <w:t xml:space="preserve">venkovní teplotní podmínky, při kterých bylo dosaženo referenční spotřeby paliva </w:t>
      </w:r>
      <w:r w:rsidR="00D20227" w:rsidRPr="00C25C38">
        <w:rPr>
          <w:b/>
        </w:rPr>
        <w:br/>
      </w:r>
      <w:r w:rsidRPr="00C25C38">
        <w:rPr>
          <w:b/>
        </w:rPr>
        <w:t>a energie v členění po měsících (tj. průměrné měsíční venkovní teploty a počty topných dnů v měsíci pro danou lokalitu)</w:t>
      </w:r>
    </w:p>
    <w:p w14:paraId="69D021FA" w14:textId="77777777" w:rsidR="00E37CA1" w:rsidRPr="00C25C38" w:rsidRDefault="00E37CA1" w:rsidP="00E44CF9">
      <w:pPr>
        <w:pStyle w:val="Odstavecseseznamem"/>
        <w:numPr>
          <w:ilvl w:val="0"/>
          <w:numId w:val="6"/>
        </w:numPr>
      </w:pPr>
      <w:r w:rsidRPr="00C25C38">
        <w:t>popis všech výchozích podmínek, které nesplňují požadované podmínky (např. nedostatečné vytápění ve výchozím stavu, apod.)</w:t>
      </w:r>
    </w:p>
    <w:p w14:paraId="70B4512E" w14:textId="77777777" w:rsidR="009A4B51" w:rsidRPr="00C25C38" w:rsidRDefault="009A4B51">
      <w:pPr>
        <w:spacing w:before="0"/>
        <w:jc w:val="left"/>
      </w:pPr>
      <w:bookmarkStart w:id="3" w:name="_Toc341474539"/>
    </w:p>
    <w:p w14:paraId="509B37FD" w14:textId="7A80542C" w:rsidR="00E37CA1" w:rsidRPr="009A4B51" w:rsidRDefault="009A4B51" w:rsidP="00122A9E">
      <w:pPr>
        <w:spacing w:before="0"/>
        <w:rPr>
          <w:rFonts w:cs="Arial"/>
          <w:b/>
          <w:bCs/>
          <w:color w:val="336699"/>
          <w:kern w:val="32"/>
          <w:sz w:val="32"/>
          <w:szCs w:val="32"/>
        </w:rPr>
      </w:pPr>
      <w:r w:rsidRPr="00C25C38">
        <w:rPr>
          <w:b/>
        </w:rPr>
        <w:t xml:space="preserve">Pro zpracování této přílohy použijte </w:t>
      </w:r>
      <w:r w:rsidR="00082BCF" w:rsidRPr="00C25C38">
        <w:rPr>
          <w:b/>
        </w:rPr>
        <w:t xml:space="preserve">mj. </w:t>
      </w:r>
      <w:r w:rsidR="00082BCF" w:rsidRPr="00BE7500">
        <w:rPr>
          <w:b/>
        </w:rPr>
        <w:t xml:space="preserve">podklady </w:t>
      </w:r>
      <w:r w:rsidR="007743E6" w:rsidRPr="00BE7500">
        <w:rPr>
          <w:b/>
        </w:rPr>
        <w:t>v</w:t>
      </w:r>
      <w:r w:rsidR="005715E3" w:rsidRPr="00BE7500">
        <w:rPr>
          <w:b/>
        </w:rPr>
        <w:t> </w:t>
      </w:r>
      <w:r w:rsidR="00FA48C3" w:rsidRPr="00BE7500">
        <w:rPr>
          <w:b/>
        </w:rPr>
        <w:t>části</w:t>
      </w:r>
      <w:r w:rsidR="005715E3" w:rsidRPr="00BE7500">
        <w:rPr>
          <w:b/>
        </w:rPr>
        <w:t xml:space="preserve"> </w:t>
      </w:r>
      <w:r w:rsidR="00122A9E" w:rsidRPr="00BE7500">
        <w:rPr>
          <w:b/>
        </w:rPr>
        <w:t>3</w:t>
      </w:r>
      <w:r w:rsidR="00082BCF" w:rsidRPr="00BE7500">
        <w:rPr>
          <w:b/>
        </w:rPr>
        <w:t xml:space="preserve"> ZD</w:t>
      </w:r>
      <w:r w:rsidR="005715E3" w:rsidRPr="00BE7500">
        <w:rPr>
          <w:b/>
        </w:rPr>
        <w:t xml:space="preserve"> (</w:t>
      </w:r>
      <w:r w:rsidR="00FA48C3" w:rsidRPr="00BE7500">
        <w:rPr>
          <w:b/>
        </w:rPr>
        <w:t>T</w:t>
      </w:r>
      <w:r w:rsidR="005715E3" w:rsidRPr="00BE7500">
        <w:rPr>
          <w:b/>
        </w:rPr>
        <w:t>echnické podklady)</w:t>
      </w:r>
      <w:r w:rsidRPr="00BE7500">
        <w:rPr>
          <w:b/>
        </w:rPr>
        <w:t>.</w:t>
      </w:r>
      <w:r w:rsidR="00122A9E" w:rsidRPr="00BE7500">
        <w:rPr>
          <w:b/>
          <w:szCs w:val="22"/>
        </w:rPr>
        <w:t xml:space="preserve"> Referenční údaje pro hodnocení nabídek </w:t>
      </w:r>
      <w:r w:rsidR="00F81DA8" w:rsidRPr="00BE7500">
        <w:rPr>
          <w:b/>
          <w:szCs w:val="22"/>
        </w:rPr>
        <w:t xml:space="preserve">(a pro vyhodnocování přínosů) </w:t>
      </w:r>
      <w:r w:rsidR="00122A9E" w:rsidRPr="00BE7500">
        <w:rPr>
          <w:b/>
          <w:szCs w:val="22"/>
        </w:rPr>
        <w:t>a způsob jejich stanovení jsou patrné z Tabulkové přílohy</w:t>
      </w:r>
      <w:r w:rsidR="00122A9E" w:rsidRPr="00BE7500">
        <w:rPr>
          <w:szCs w:val="22"/>
        </w:rPr>
        <w:t xml:space="preserve"> (viz část 5 ZD).</w:t>
      </w:r>
      <w:r w:rsidR="00E37CA1" w:rsidRPr="009A4B51">
        <w:rPr>
          <w:b/>
        </w:rPr>
        <w:br w:type="page"/>
      </w:r>
    </w:p>
    <w:p w14:paraId="6DBFBC80" w14:textId="77777777" w:rsidR="00E37CA1" w:rsidRPr="00FF6E77" w:rsidRDefault="00E37CA1" w:rsidP="00FF6E77">
      <w:pPr>
        <w:pStyle w:val="Nadpis1"/>
      </w:pPr>
      <w:bookmarkStart w:id="4" w:name="_Toc56442117"/>
      <w:r w:rsidRPr="00FF6E77">
        <w:lastRenderedPageBreak/>
        <w:t>Příloha č. 2: Popis základních opatření</w:t>
      </w:r>
      <w:bookmarkEnd w:id="3"/>
      <w:bookmarkEnd w:id="4"/>
    </w:p>
    <w:p w14:paraId="6FAF614D" w14:textId="5FF9718F"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V této příloze budou po jednotlivých </w:t>
      </w:r>
      <w:r w:rsidRPr="00A21F59">
        <w:rPr>
          <w:bCs/>
          <w:szCs w:val="22"/>
        </w:rPr>
        <w:t>objektech</w:t>
      </w:r>
      <w:r w:rsidR="00596B99">
        <w:rPr>
          <w:bCs/>
          <w:szCs w:val="22"/>
        </w:rPr>
        <w:t>/soustavě VO</w:t>
      </w:r>
      <w:r w:rsidRPr="00E37CA1">
        <w:rPr>
          <w:b/>
          <w:bCs/>
          <w:szCs w:val="22"/>
        </w:rPr>
        <w:t xml:space="preserve"> </w:t>
      </w:r>
      <w:r w:rsidRPr="00E37CA1">
        <w:rPr>
          <w:szCs w:val="22"/>
        </w:rPr>
        <w:t>specifikován</w:t>
      </w:r>
      <w:r w:rsidRPr="00A21F59">
        <w:rPr>
          <w:szCs w:val="22"/>
        </w:rPr>
        <w:t xml:space="preserve">a </w:t>
      </w:r>
      <w:r w:rsidRPr="00A21F59">
        <w:rPr>
          <w:bCs/>
          <w:szCs w:val="22"/>
        </w:rPr>
        <w:t>základní opatření</w:t>
      </w:r>
      <w:r w:rsidRPr="00A21F59">
        <w:rPr>
          <w:szCs w:val="22"/>
        </w:rPr>
        <w:t xml:space="preserve">, která </w:t>
      </w:r>
      <w:r w:rsidRPr="00E37CA1">
        <w:rPr>
          <w:szCs w:val="22"/>
        </w:rPr>
        <w:t>v nich budou realizována. Popis opatření a jejich výsledky budou obsahovat následující podrobnosti:</w:t>
      </w:r>
    </w:p>
    <w:p w14:paraId="3634A8E8" w14:textId="77777777" w:rsidR="00E37CA1" w:rsidRPr="002200C6" w:rsidRDefault="00E37CA1" w:rsidP="002200C6">
      <w:pPr>
        <w:pStyle w:val="Odstavecseseznamem"/>
        <w:numPr>
          <w:ilvl w:val="0"/>
          <w:numId w:val="26"/>
        </w:numPr>
        <w:spacing w:before="240" w:after="120"/>
        <w:ind w:left="567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Technický popis opatření</w:t>
      </w:r>
    </w:p>
    <w:p w14:paraId="1D408F58" w14:textId="39E5D5B7"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 xml:space="preserve">Úsporná opatření na tepelné energii či </w:t>
      </w:r>
      <w:r w:rsidR="008219AD">
        <w:t>zemním plynu</w:t>
      </w:r>
    </w:p>
    <w:p w14:paraId="50C7EC3F" w14:textId="77777777"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Úsporná opatření na elektrické energii</w:t>
      </w:r>
    </w:p>
    <w:p w14:paraId="20BF1F74" w14:textId="77777777"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Úsporná opatření na vodě</w:t>
      </w:r>
    </w:p>
    <w:p w14:paraId="5F267490" w14:textId="77777777"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Úsporná opatření na ostatních provozních nákladech</w:t>
      </w:r>
    </w:p>
    <w:p w14:paraId="6152A6D4" w14:textId="77777777"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Součástí technického popisu opatření je výše investice po dílčích opatřeních a úspora v technických jednotkách po jednotlivých formách energie a v korunách. Pokud nelze efekt opatření na spotřebu paliv, vody a energie oddělit, bude toto v popisu opatření odůvodněno. </w:t>
      </w:r>
    </w:p>
    <w:p w14:paraId="3AD71026" w14:textId="77777777" w:rsidR="00E37CA1" w:rsidRPr="002200C6" w:rsidRDefault="00E37CA1" w:rsidP="002200C6">
      <w:pPr>
        <w:pStyle w:val="Odstavecseseznamem"/>
        <w:numPr>
          <w:ilvl w:val="0"/>
          <w:numId w:val="26"/>
        </w:numPr>
        <w:spacing w:before="240" w:after="120"/>
        <w:ind w:left="567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Tabulkové výstupy</w:t>
      </w:r>
    </w:p>
    <w:p w14:paraId="67934251" w14:textId="39EAC592"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Technicko-ekonomické údaje po jednotlivých objektech</w:t>
      </w:r>
      <w:r w:rsidR="00596B99">
        <w:rPr>
          <w:b/>
          <w:szCs w:val="22"/>
        </w:rPr>
        <w:t>/soustavě VO</w:t>
      </w:r>
    </w:p>
    <w:p w14:paraId="17640654" w14:textId="77777777"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Součástí technického popisu opatření bude výše investice po dílčích opatřeních a úspora v technických jednotkách po jednotlivých formách energie a v korunách. Doporučujeme zpracovat </w:t>
      </w:r>
      <w:r w:rsidR="00D20227">
        <w:rPr>
          <w:szCs w:val="22"/>
        </w:rPr>
        <w:br/>
      </w:r>
      <w:r w:rsidRPr="00E37CA1">
        <w:rPr>
          <w:szCs w:val="22"/>
        </w:rPr>
        <w:t>ve formě tabulek převzatých z tabulkového zpracování – viz přiložený excelový soubor.</w:t>
      </w:r>
    </w:p>
    <w:p w14:paraId="73538361" w14:textId="77777777"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Souhrn technicko-ekonomických výstupů projektu</w:t>
      </w:r>
    </w:p>
    <w:p w14:paraId="65E40949" w14:textId="77777777"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Požadavkem zadávací dokumentace bývá souhrnná tabulka technicko-ekonomických ukazatelů projektu. V souhrnné tabulce bude podle jednotlivých objektů uvedena celková investice a úspory </w:t>
      </w:r>
      <w:r w:rsidR="00D20227">
        <w:rPr>
          <w:szCs w:val="22"/>
        </w:rPr>
        <w:br/>
      </w:r>
      <w:r w:rsidRPr="00E37CA1">
        <w:rPr>
          <w:szCs w:val="22"/>
        </w:rPr>
        <w:t>po jednotlivých formách paliv a energie a úspora v nákladech na jednotlivé formy energie a ostatních provozních nákladů. Doporučujeme zpracovat ve formě tabulek převzatých z tabulkového zpracování – viz přiložený excelový soubor.</w:t>
      </w:r>
    </w:p>
    <w:p w14:paraId="784528D5" w14:textId="77777777" w:rsidR="00E37CA1" w:rsidRPr="002200C6" w:rsidRDefault="00E37CA1" w:rsidP="002200C6">
      <w:pPr>
        <w:pStyle w:val="Odstavecseseznamem"/>
        <w:numPr>
          <w:ilvl w:val="0"/>
          <w:numId w:val="26"/>
        </w:numPr>
        <w:spacing w:before="240" w:after="120"/>
        <w:ind w:left="567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Požadavky na provedení komplexní zkoušky</w:t>
      </w:r>
    </w:p>
    <w:p w14:paraId="103C6220" w14:textId="77777777" w:rsid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Jak uvádí </w:t>
      </w:r>
      <w:r w:rsidRPr="002200C6">
        <w:rPr>
          <w:szCs w:val="22"/>
        </w:rPr>
        <w:t>Smlouva, článek 7, Komplexní zkoušky, před předáním</w:t>
      </w:r>
      <w:r w:rsidRPr="00E37CA1">
        <w:rPr>
          <w:szCs w:val="22"/>
        </w:rPr>
        <w:t xml:space="preserve"> bude provedením komplexních zkoušek prokázáno, že základní investiční opatření byla provedena ze strany ESCO řádně. Případné požadavky na prováděné komplexní zkoušky budou uvedeny v této příloze.</w:t>
      </w:r>
    </w:p>
    <w:p w14:paraId="778D2B15" w14:textId="77777777" w:rsidR="00C25C38" w:rsidRDefault="00C25C38" w:rsidP="00E37CA1">
      <w:pPr>
        <w:rPr>
          <w:szCs w:val="22"/>
        </w:rPr>
      </w:pPr>
    </w:p>
    <w:p w14:paraId="7D8EBA32" w14:textId="77777777" w:rsidR="004F7188" w:rsidRDefault="00C25C38" w:rsidP="00C25C38">
      <w:pPr>
        <w:rPr>
          <w:szCs w:val="22"/>
        </w:rPr>
      </w:pPr>
      <w:r w:rsidRPr="00C25C38">
        <w:rPr>
          <w:szCs w:val="22"/>
        </w:rPr>
        <w:t xml:space="preserve">Bude uveden detailní popis </w:t>
      </w:r>
      <w:r w:rsidR="004F7188">
        <w:rPr>
          <w:szCs w:val="22"/>
        </w:rPr>
        <w:t>každého navrženého opatření, resp. technického řešení.</w:t>
      </w:r>
      <w:r w:rsidRPr="00C25C38">
        <w:rPr>
          <w:szCs w:val="22"/>
        </w:rPr>
        <w:t xml:space="preserve"> </w:t>
      </w:r>
      <w:r w:rsidR="004F7188">
        <w:rPr>
          <w:szCs w:val="22"/>
        </w:rPr>
        <w:t>Při n</w:t>
      </w:r>
      <w:r w:rsidRPr="00C25C38">
        <w:rPr>
          <w:szCs w:val="22"/>
        </w:rPr>
        <w:t xml:space="preserve">ávrhu opatření </w:t>
      </w:r>
      <w:r w:rsidR="004F7188">
        <w:rPr>
          <w:szCs w:val="22"/>
        </w:rPr>
        <w:t xml:space="preserve">musí být respektovány </w:t>
      </w:r>
      <w:r w:rsidRPr="00C25C38">
        <w:rPr>
          <w:szCs w:val="22"/>
        </w:rPr>
        <w:t xml:space="preserve">všechny právní a technické požadavky, platné v době přípravy nabídky. </w:t>
      </w:r>
    </w:p>
    <w:p w14:paraId="6789F996" w14:textId="77777777" w:rsidR="00C25C38" w:rsidRPr="00C25C38" w:rsidRDefault="004F7188" w:rsidP="00C25C38">
      <w:pPr>
        <w:rPr>
          <w:szCs w:val="22"/>
        </w:rPr>
      </w:pPr>
      <w:r>
        <w:rPr>
          <w:szCs w:val="22"/>
        </w:rPr>
        <w:t>Popis bude obsahovat minimálně:</w:t>
      </w:r>
      <w:r w:rsidR="00C25C38" w:rsidRPr="00C25C38">
        <w:rPr>
          <w:szCs w:val="22"/>
        </w:rPr>
        <w:t xml:space="preserve"> </w:t>
      </w:r>
    </w:p>
    <w:p w14:paraId="3338DF36" w14:textId="77777777" w:rsidR="00C25C38" w:rsidRPr="00C25C38" w:rsidRDefault="004F7188" w:rsidP="00C25C38">
      <w:pPr>
        <w:pStyle w:val="Odstavecseseznamem"/>
        <w:numPr>
          <w:ilvl w:val="0"/>
          <w:numId w:val="28"/>
        </w:numPr>
        <w:rPr>
          <w:szCs w:val="22"/>
        </w:rPr>
      </w:pPr>
      <w:r>
        <w:rPr>
          <w:szCs w:val="22"/>
        </w:rPr>
        <w:t>popis j</w:t>
      </w:r>
      <w:r w:rsidR="00C25C38" w:rsidRPr="00C25C38">
        <w:rPr>
          <w:szCs w:val="22"/>
        </w:rPr>
        <w:t>ednotliv</w:t>
      </w:r>
      <w:r>
        <w:rPr>
          <w:szCs w:val="22"/>
        </w:rPr>
        <w:t xml:space="preserve">ých navržených </w:t>
      </w:r>
      <w:r w:rsidR="00C25C38" w:rsidRPr="00C25C38">
        <w:rPr>
          <w:szCs w:val="22"/>
        </w:rPr>
        <w:t xml:space="preserve">opatření </w:t>
      </w:r>
      <w:r>
        <w:rPr>
          <w:szCs w:val="22"/>
        </w:rPr>
        <w:t xml:space="preserve">včetně </w:t>
      </w:r>
      <w:r w:rsidR="00C25C38" w:rsidRPr="00C25C38">
        <w:rPr>
          <w:szCs w:val="22"/>
        </w:rPr>
        <w:t>popisu jejich instalace a realizace, včetně typů (dodavatelů) navrhovaných technologií, dodavatelů technologií</w:t>
      </w:r>
      <w:r>
        <w:rPr>
          <w:szCs w:val="22"/>
        </w:rPr>
        <w:t xml:space="preserve"> apod.</w:t>
      </w:r>
      <w:r w:rsidR="00C25C38" w:rsidRPr="00C25C38">
        <w:rPr>
          <w:szCs w:val="22"/>
        </w:rPr>
        <w:t xml:space="preserve">; </w:t>
      </w:r>
    </w:p>
    <w:p w14:paraId="27D7EDCA" w14:textId="77777777" w:rsidR="00C25C38" w:rsidRPr="00C25C38" w:rsidRDefault="004F7188" w:rsidP="00C25C38">
      <w:pPr>
        <w:pStyle w:val="Odstavecseseznamem"/>
        <w:numPr>
          <w:ilvl w:val="0"/>
          <w:numId w:val="28"/>
        </w:numPr>
        <w:rPr>
          <w:szCs w:val="22"/>
        </w:rPr>
      </w:pPr>
      <w:r>
        <w:rPr>
          <w:szCs w:val="22"/>
        </w:rPr>
        <w:t>v</w:t>
      </w:r>
      <w:r w:rsidR="00C25C38" w:rsidRPr="00C25C38">
        <w:rPr>
          <w:szCs w:val="22"/>
        </w:rPr>
        <w:t>ýš</w:t>
      </w:r>
      <w:r>
        <w:rPr>
          <w:szCs w:val="22"/>
        </w:rPr>
        <w:t>i</w:t>
      </w:r>
      <w:r w:rsidR="00C25C38" w:rsidRPr="00C25C38">
        <w:rPr>
          <w:szCs w:val="22"/>
        </w:rPr>
        <w:t xml:space="preserve"> investi</w:t>
      </w:r>
      <w:r>
        <w:rPr>
          <w:szCs w:val="22"/>
        </w:rPr>
        <w:t xml:space="preserve">čních nákladů </w:t>
      </w:r>
      <w:r w:rsidR="00C25C38" w:rsidRPr="00C25C38">
        <w:rPr>
          <w:szCs w:val="22"/>
        </w:rPr>
        <w:t>v Kč = cen</w:t>
      </w:r>
      <w:r>
        <w:rPr>
          <w:szCs w:val="22"/>
        </w:rPr>
        <w:t xml:space="preserve">u každého </w:t>
      </w:r>
      <w:r w:rsidR="00C25C38" w:rsidRPr="00C25C38">
        <w:rPr>
          <w:szCs w:val="22"/>
        </w:rPr>
        <w:t>navržen</w:t>
      </w:r>
      <w:r>
        <w:rPr>
          <w:szCs w:val="22"/>
        </w:rPr>
        <w:t>ého</w:t>
      </w:r>
      <w:r w:rsidR="00C25C38" w:rsidRPr="00C25C38">
        <w:rPr>
          <w:szCs w:val="22"/>
        </w:rPr>
        <w:t xml:space="preserve"> základní</w:t>
      </w:r>
      <w:r>
        <w:rPr>
          <w:szCs w:val="22"/>
        </w:rPr>
        <w:t>ho opatření;</w:t>
      </w:r>
    </w:p>
    <w:p w14:paraId="21CA29B0" w14:textId="77777777" w:rsidR="00C25C38" w:rsidRPr="00C25C38" w:rsidRDefault="004F7188" w:rsidP="00C25C38">
      <w:pPr>
        <w:pStyle w:val="Odstavecseseznamem"/>
        <w:numPr>
          <w:ilvl w:val="0"/>
          <w:numId w:val="28"/>
        </w:numPr>
        <w:rPr>
          <w:szCs w:val="22"/>
        </w:rPr>
      </w:pPr>
      <w:r>
        <w:rPr>
          <w:szCs w:val="22"/>
        </w:rPr>
        <w:t>r</w:t>
      </w:r>
      <w:r w:rsidR="00C25C38" w:rsidRPr="00C25C38">
        <w:rPr>
          <w:szCs w:val="22"/>
        </w:rPr>
        <w:t>oční úspor</w:t>
      </w:r>
      <w:r>
        <w:rPr>
          <w:szCs w:val="22"/>
        </w:rPr>
        <w:t>u</w:t>
      </w:r>
      <w:r w:rsidR="00C25C38" w:rsidRPr="00C25C38">
        <w:rPr>
          <w:szCs w:val="22"/>
        </w:rPr>
        <w:t xml:space="preserve"> jednotlivých forem energie vč. vody v technických jednotkách v důsledku nově </w:t>
      </w:r>
      <w:r>
        <w:rPr>
          <w:szCs w:val="22"/>
        </w:rPr>
        <w:t>navrhovaných úsporných opatření,</w:t>
      </w:r>
      <w:r w:rsidR="00C25C38" w:rsidRPr="00C25C38">
        <w:rPr>
          <w:szCs w:val="22"/>
        </w:rPr>
        <w:t xml:space="preserve"> po jednotlivých opatřeních; </w:t>
      </w:r>
    </w:p>
    <w:p w14:paraId="63AE0D77" w14:textId="77777777" w:rsidR="00C25C38" w:rsidRPr="00C25C38" w:rsidRDefault="004F7188" w:rsidP="00C25C38">
      <w:pPr>
        <w:pStyle w:val="Odstavecseseznamem"/>
        <w:numPr>
          <w:ilvl w:val="0"/>
          <w:numId w:val="28"/>
        </w:numPr>
        <w:rPr>
          <w:szCs w:val="22"/>
        </w:rPr>
      </w:pPr>
      <w:r>
        <w:rPr>
          <w:szCs w:val="22"/>
        </w:rPr>
        <w:t>r</w:t>
      </w:r>
      <w:r w:rsidR="00C25C38" w:rsidRPr="00C25C38">
        <w:rPr>
          <w:szCs w:val="22"/>
        </w:rPr>
        <w:t>oční úspor</w:t>
      </w:r>
      <w:r>
        <w:rPr>
          <w:szCs w:val="22"/>
        </w:rPr>
        <w:t>u</w:t>
      </w:r>
      <w:r w:rsidR="00C25C38" w:rsidRPr="00C25C38">
        <w:rPr>
          <w:szCs w:val="22"/>
        </w:rPr>
        <w:t xml:space="preserve"> nákladů na energii vč. vody v důsledku nově navrhovaných úsporných opatření (Kč/rok); </w:t>
      </w:r>
    </w:p>
    <w:p w14:paraId="274787D7" w14:textId="77777777" w:rsidR="00C25C38" w:rsidRPr="00C25C38" w:rsidRDefault="004F7188" w:rsidP="004F7188">
      <w:pPr>
        <w:pStyle w:val="Odstavecseseznamem"/>
        <w:rPr>
          <w:szCs w:val="22"/>
        </w:rPr>
      </w:pPr>
      <w:r>
        <w:rPr>
          <w:szCs w:val="22"/>
        </w:rPr>
        <w:t>ú</w:t>
      </w:r>
      <w:r w:rsidR="00C25C38" w:rsidRPr="00C25C38">
        <w:rPr>
          <w:szCs w:val="22"/>
        </w:rPr>
        <w:t xml:space="preserve">častník uvede výši těchto úspor, popíše podrobně, o jaké úspory se jedná a jak vypočetl výši těchto úspor; </w:t>
      </w:r>
    </w:p>
    <w:p w14:paraId="7E331560" w14:textId="77777777" w:rsidR="004F7188" w:rsidRDefault="004F7188" w:rsidP="00C25C38">
      <w:pPr>
        <w:pStyle w:val="Odstavecseseznamem"/>
        <w:numPr>
          <w:ilvl w:val="0"/>
          <w:numId w:val="28"/>
        </w:numPr>
        <w:rPr>
          <w:szCs w:val="22"/>
        </w:rPr>
      </w:pPr>
      <w:r>
        <w:rPr>
          <w:szCs w:val="22"/>
        </w:rPr>
        <w:t>r</w:t>
      </w:r>
      <w:r w:rsidR="00C25C38" w:rsidRPr="00C25C38">
        <w:rPr>
          <w:szCs w:val="22"/>
        </w:rPr>
        <w:t>oční úspor</w:t>
      </w:r>
      <w:r>
        <w:rPr>
          <w:szCs w:val="22"/>
        </w:rPr>
        <w:t>u</w:t>
      </w:r>
      <w:r w:rsidR="00C25C38" w:rsidRPr="00C25C38">
        <w:rPr>
          <w:szCs w:val="22"/>
        </w:rPr>
        <w:t xml:space="preserve"> ostatních provozních nákladů v Kč/rok; </w:t>
      </w:r>
    </w:p>
    <w:p w14:paraId="08C7EEA7" w14:textId="77777777" w:rsidR="00C25C38" w:rsidRPr="00C25C38" w:rsidRDefault="004F7188" w:rsidP="004F7188">
      <w:pPr>
        <w:pStyle w:val="Odstavecseseznamem"/>
        <w:rPr>
          <w:szCs w:val="22"/>
        </w:rPr>
      </w:pPr>
      <w:r>
        <w:rPr>
          <w:szCs w:val="22"/>
        </w:rPr>
        <w:lastRenderedPageBreak/>
        <w:t>ú</w:t>
      </w:r>
      <w:r w:rsidR="00C25C38" w:rsidRPr="00C25C38">
        <w:rPr>
          <w:szCs w:val="22"/>
        </w:rPr>
        <w:t xml:space="preserve">častník uvede výši těchto úspor, popíše podrobně, o jaké úspory se jedná a jak budou dosaženy. </w:t>
      </w:r>
    </w:p>
    <w:p w14:paraId="791B29FF" w14:textId="77777777" w:rsidR="00C25C38" w:rsidRPr="00C25C38" w:rsidRDefault="00C25C38" w:rsidP="00C25C38">
      <w:pPr>
        <w:pStyle w:val="Odstavecseseznamem"/>
        <w:numPr>
          <w:ilvl w:val="0"/>
          <w:numId w:val="28"/>
        </w:numPr>
        <w:rPr>
          <w:szCs w:val="22"/>
        </w:rPr>
      </w:pPr>
      <w:r w:rsidRPr="00C25C38">
        <w:rPr>
          <w:szCs w:val="22"/>
        </w:rPr>
        <w:t xml:space="preserve">Všechny ekonomické </w:t>
      </w:r>
      <w:r w:rsidRPr="007743E6">
        <w:rPr>
          <w:szCs w:val="22"/>
        </w:rPr>
        <w:t xml:space="preserve">údaje budou uvedeny </w:t>
      </w:r>
      <w:r w:rsidRPr="00F81DA8">
        <w:rPr>
          <w:szCs w:val="22"/>
          <w:u w:val="single"/>
        </w:rPr>
        <w:t>včetně DPH</w:t>
      </w:r>
      <w:r w:rsidRPr="007743E6">
        <w:rPr>
          <w:szCs w:val="22"/>
        </w:rPr>
        <w:t>.</w:t>
      </w:r>
      <w:r w:rsidRPr="00C25C38">
        <w:rPr>
          <w:szCs w:val="22"/>
        </w:rPr>
        <w:t xml:space="preserve"> </w:t>
      </w:r>
    </w:p>
    <w:p w14:paraId="222717B8" w14:textId="77777777" w:rsidR="00C25C38" w:rsidRPr="00C25C38" w:rsidRDefault="00C25C38" w:rsidP="00C25C38">
      <w:pPr>
        <w:rPr>
          <w:szCs w:val="22"/>
        </w:rPr>
      </w:pPr>
    </w:p>
    <w:p w14:paraId="50C5BFE4" w14:textId="77777777" w:rsidR="00C25C38" w:rsidRPr="00DE26F6" w:rsidRDefault="00C25C38" w:rsidP="00C25C38">
      <w:pPr>
        <w:rPr>
          <w:b/>
          <w:szCs w:val="22"/>
          <w:u w:val="single"/>
        </w:rPr>
      </w:pPr>
      <w:r w:rsidRPr="00DE26F6">
        <w:rPr>
          <w:b/>
          <w:szCs w:val="22"/>
          <w:u w:val="single"/>
        </w:rPr>
        <w:t xml:space="preserve">Požadavky na výpočet úspory </w:t>
      </w:r>
    </w:p>
    <w:p w14:paraId="4D5F63B2" w14:textId="77777777" w:rsidR="00C25C38" w:rsidRPr="00C25C38" w:rsidRDefault="00C25C38" w:rsidP="00C25C38">
      <w:pPr>
        <w:rPr>
          <w:szCs w:val="22"/>
        </w:rPr>
      </w:pPr>
      <w:r w:rsidRPr="00C25C38">
        <w:rPr>
          <w:szCs w:val="22"/>
        </w:rPr>
        <w:t xml:space="preserve">Úspora ve spotřebě paliv a energie vč. vody a úspora nákladů budou v souladu s Přílohou č. 6 smlouvy vypočteny </w:t>
      </w:r>
      <w:r w:rsidRPr="00DE26F6">
        <w:rPr>
          <w:b/>
          <w:szCs w:val="22"/>
        </w:rPr>
        <w:t>jako „nerealizovaná spotřeba“ a nerealizované náklady“.</w:t>
      </w:r>
      <w:r w:rsidRPr="00C25C38">
        <w:rPr>
          <w:szCs w:val="22"/>
        </w:rPr>
        <w:t xml:space="preserve"> </w:t>
      </w:r>
    </w:p>
    <w:p w14:paraId="1A15A1EC" w14:textId="4519FE2F" w:rsidR="00F00D26" w:rsidRDefault="00F00D26" w:rsidP="00C25C38">
      <w:pPr>
        <w:rPr>
          <w:szCs w:val="22"/>
        </w:rPr>
      </w:pPr>
      <w:r>
        <w:rPr>
          <w:szCs w:val="22"/>
        </w:rPr>
        <w:t>U</w:t>
      </w:r>
      <w:r w:rsidRPr="00F00D26">
        <w:rPr>
          <w:szCs w:val="22"/>
        </w:rPr>
        <w:t xml:space="preserve"> všech úspor bude jednoznačně uvedeno, jakým způsobem se budou vyhodnocovat – zda na základě měření (s uvedením, o jaký typ vyhodnocování dle IPMVP se jedná) či jiným způsobem (jakým).</w:t>
      </w:r>
    </w:p>
    <w:p w14:paraId="604744EE" w14:textId="1A08A3CA" w:rsidR="00C25C38" w:rsidRDefault="00F00D26" w:rsidP="00E37CA1">
      <w:pPr>
        <w:rPr>
          <w:b/>
        </w:rPr>
      </w:pPr>
      <w:r w:rsidRPr="008F0207">
        <w:rPr>
          <w:b/>
        </w:rPr>
        <w:t>Způsob vyhodnocení úspor bude detailně popsán v příloze č. 6 Smlouvy a příklady s vyhodnocením každého typu navržených opatření (tzn. vzorové vyhodnocení za použití fiktivních spotřeb a dalších údajů) budou uvedeny v rámci vzorové Průběžné zprávy, která bude součástí nabídky</w:t>
      </w:r>
      <w:r>
        <w:t xml:space="preserve">. </w:t>
      </w:r>
      <w:r w:rsidRPr="008F0207">
        <w:rPr>
          <w:b/>
        </w:rPr>
        <w:t xml:space="preserve">Vzor průběžné zprávy musí v maximální míře odpovídat </w:t>
      </w:r>
      <w:r w:rsidR="00DE26F6">
        <w:rPr>
          <w:b/>
        </w:rPr>
        <w:t>navrženým</w:t>
      </w:r>
      <w:r w:rsidRPr="008F0207">
        <w:rPr>
          <w:b/>
        </w:rPr>
        <w:t xml:space="preserve"> </w:t>
      </w:r>
      <w:r w:rsidR="00DE26F6">
        <w:rPr>
          <w:b/>
        </w:rPr>
        <w:t>opatřením</w:t>
      </w:r>
      <w:r w:rsidRPr="008F0207">
        <w:rPr>
          <w:b/>
        </w:rPr>
        <w:t>.</w:t>
      </w:r>
    </w:p>
    <w:p w14:paraId="47CB72B5" w14:textId="77777777" w:rsidR="00076BB7" w:rsidRPr="00C25C38" w:rsidRDefault="00076BB7" w:rsidP="00076BB7">
      <w:pPr>
        <w:rPr>
          <w:szCs w:val="22"/>
        </w:rPr>
      </w:pPr>
      <w:r w:rsidRPr="00C25C38">
        <w:rPr>
          <w:szCs w:val="22"/>
        </w:rPr>
        <w:t xml:space="preserve">U všech úspor, které jsou při jejich vyhodnocení podle Přílohy 6 </w:t>
      </w:r>
      <w:r>
        <w:rPr>
          <w:szCs w:val="22"/>
        </w:rPr>
        <w:t>považovány za fixní (neměřené)</w:t>
      </w:r>
      <w:r w:rsidRPr="00C25C38">
        <w:rPr>
          <w:szCs w:val="22"/>
        </w:rPr>
        <w:t>, budou uvedeny výpočty úspory a vstupní proměnné, ze kterých dodavatel vycházel – v souladu s IPMVP (Mezinárodním protokolem k měření a verifikaci úspor).</w:t>
      </w:r>
    </w:p>
    <w:p w14:paraId="292C3F32" w14:textId="55777E31" w:rsidR="009A4B51" w:rsidRDefault="009A4B51">
      <w:pPr>
        <w:spacing w:before="0"/>
        <w:jc w:val="left"/>
      </w:pPr>
      <w:bookmarkStart w:id="5" w:name="_Toc341474540"/>
    </w:p>
    <w:p w14:paraId="643103C7" w14:textId="77777777" w:rsidR="00076BB7" w:rsidRDefault="00076BB7">
      <w:pPr>
        <w:spacing w:before="0"/>
        <w:jc w:val="left"/>
      </w:pPr>
    </w:p>
    <w:p w14:paraId="218127C0" w14:textId="77777777" w:rsidR="00E37CA1" w:rsidRDefault="009A4B5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r w:rsidRPr="009A4B51">
        <w:rPr>
          <w:b/>
        </w:rPr>
        <w:t xml:space="preserve">Pro zpracování této přílohy použijte </w:t>
      </w:r>
      <w:r>
        <w:rPr>
          <w:b/>
        </w:rPr>
        <w:t xml:space="preserve">mj. </w:t>
      </w:r>
      <w:r w:rsidR="00082BCF">
        <w:rPr>
          <w:b/>
        </w:rPr>
        <w:t>vzorový dokument</w:t>
      </w:r>
      <w:r w:rsidRPr="009A4B51">
        <w:rPr>
          <w:b/>
        </w:rPr>
        <w:t xml:space="preserve"> </w:t>
      </w:r>
      <w:r w:rsidR="00FA48C3">
        <w:rPr>
          <w:b/>
        </w:rPr>
        <w:t>4</w:t>
      </w:r>
      <w:r w:rsidR="00CD1D45">
        <w:rPr>
          <w:b/>
        </w:rPr>
        <w:t>a</w:t>
      </w:r>
      <w:r w:rsidR="00082BCF">
        <w:rPr>
          <w:b/>
        </w:rPr>
        <w:t xml:space="preserve"> </w:t>
      </w:r>
      <w:r w:rsidR="00C25C38">
        <w:rPr>
          <w:b/>
        </w:rPr>
        <w:t>a Tabulkovou přílohu</w:t>
      </w:r>
      <w:r w:rsidRPr="009A4B51">
        <w:rPr>
          <w:b/>
        </w:rPr>
        <w:t>.</w:t>
      </w:r>
      <w:r w:rsidR="00E37CA1">
        <w:br w:type="page"/>
      </w:r>
    </w:p>
    <w:p w14:paraId="72DEA845" w14:textId="77777777" w:rsidR="00E37CA1" w:rsidRPr="00FF6E77" w:rsidRDefault="00E37CA1" w:rsidP="00FF6E77">
      <w:pPr>
        <w:pStyle w:val="Nadpis1"/>
      </w:pPr>
      <w:bookmarkStart w:id="6" w:name="_Toc56442118"/>
      <w:r w:rsidRPr="00FF6E77">
        <w:lastRenderedPageBreak/>
        <w:t>Příloha č. 3: Cena a její úhrada</w:t>
      </w:r>
      <w:bookmarkEnd w:id="5"/>
      <w:bookmarkEnd w:id="6"/>
    </w:p>
    <w:p w14:paraId="62EA4FC2" w14:textId="77777777" w:rsidR="00E37CA1" w:rsidRPr="00E37CA1" w:rsidRDefault="00E37CA1" w:rsidP="00E37CA1">
      <w:r w:rsidRPr="00E37CA1">
        <w:t>V Příloze č. 3 bude v návaznosti na Článek 17 Smlouvy uvedena cena projektu EPC v podrobnějším členění. Cena bude uvedena po jednotlivých položkách v souladu s následujícími pokyny:</w:t>
      </w:r>
    </w:p>
    <w:p w14:paraId="5202A682" w14:textId="77777777"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Cena za provedení základních opatření:</w:t>
      </w:r>
    </w:p>
    <w:p w14:paraId="4ABAABAF" w14:textId="77777777"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cena za provedení základních opatření bude uved</w:t>
      </w:r>
      <w:r w:rsidR="00CF3764">
        <w:t>ena po jednotlivých objektech</w:t>
      </w:r>
      <w:r w:rsidRPr="00E37CA1">
        <w:t xml:space="preserve"> a v nich dále podle jednotlivých opatření – jako hrubý položkový rozpočet.</w:t>
      </w:r>
    </w:p>
    <w:p w14:paraId="765925F9" w14:textId="77777777"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Cena bude uvedena jako cena bez DPH, DPH (s uvedením výše DPH v %), cena včetně DPH.</w:t>
      </w:r>
    </w:p>
    <w:p w14:paraId="5512B3A6" w14:textId="77777777"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V souladu se zadávací dokumentací bude stanoveno, zda je součástí DPH přenesená povinnost platby DPH (reverse charge). Pokud je uplatněna, bude vyčíslena po jednotlivých objektech.</w:t>
      </w:r>
    </w:p>
    <w:p w14:paraId="4982BA40" w14:textId="77777777"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Finanční náklady</w:t>
      </w:r>
    </w:p>
    <w:p w14:paraId="37300603" w14:textId="77777777"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Finanční náklady vznikají v důsledku odložené postupné úhrady ceny za provedení opatření, která je uhrazena ve splátkách, které jsou uvedeny v této příloze. Je uvedena výše a termíny splátek, je uvedena úroková sazba pro výpočet splátek. K jednotlivým splátkám ceny budou připočteny úroky ve výši __% ročně.</w:t>
      </w:r>
    </w:p>
    <w:p w14:paraId="486375FC" w14:textId="77777777"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Finanční náklady = cena za finanční služby – budou uvedeny v roční a v úhrnné výši za celou dobu splácení ceny projektu.</w:t>
      </w:r>
    </w:p>
    <w:p w14:paraId="2AB216AB" w14:textId="77777777"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 xml:space="preserve">Cena je uvedena jako cena bez DPH, na splátky úroků se DPH nevztahuje (jedná se </w:t>
      </w:r>
      <w:r w:rsidR="00D20227">
        <w:br/>
      </w:r>
      <w:r w:rsidRPr="00E37CA1">
        <w:t>o osvobozené plnění o DPH).</w:t>
      </w:r>
    </w:p>
    <w:p w14:paraId="0D1C7AF6" w14:textId="36E9F91B" w:rsidR="00E37CA1" w:rsidRPr="00BE7500" w:rsidRDefault="00E37CA1" w:rsidP="00E37CA1">
      <w:pPr>
        <w:spacing w:before="240"/>
        <w:rPr>
          <w:b/>
          <w:szCs w:val="22"/>
          <w:u w:val="words"/>
        </w:rPr>
      </w:pPr>
      <w:r w:rsidRPr="00E37CA1">
        <w:rPr>
          <w:b/>
          <w:szCs w:val="22"/>
        </w:rPr>
        <w:t>Cena za energetický management</w:t>
      </w:r>
      <w:r w:rsidR="00BE7500">
        <w:rPr>
          <w:b/>
          <w:szCs w:val="22"/>
        </w:rPr>
        <w:t xml:space="preserve"> a další služby</w:t>
      </w:r>
    </w:p>
    <w:p w14:paraId="18A5E4DE" w14:textId="77777777" w:rsidR="00E37CA1" w:rsidRPr="0042510B" w:rsidRDefault="00E37CA1" w:rsidP="00E44CF9">
      <w:pPr>
        <w:pStyle w:val="Odstavecseseznamem"/>
        <w:numPr>
          <w:ilvl w:val="0"/>
          <w:numId w:val="8"/>
        </w:numPr>
      </w:pPr>
      <w:r w:rsidRPr="0042510B">
        <w:t>Cena za energetický management bude uvedena jako roční a celková. Popis a obsah energetického managementu bude uveden v Příloze č. 7.</w:t>
      </w:r>
    </w:p>
    <w:p w14:paraId="2F49E6A6" w14:textId="565195E8" w:rsidR="00E37CA1" w:rsidRPr="0042510B" w:rsidRDefault="00596B99" w:rsidP="00DE26F6">
      <w:pPr>
        <w:pStyle w:val="Odstavecseseznamem"/>
        <w:numPr>
          <w:ilvl w:val="0"/>
          <w:numId w:val="8"/>
        </w:numPr>
      </w:pPr>
      <w:r w:rsidRPr="00E37CA1">
        <w:t xml:space="preserve">Cena bude uvedena jako cena bez DPH, </w:t>
      </w:r>
      <w:r w:rsidR="00DE26F6">
        <w:t xml:space="preserve">objem </w:t>
      </w:r>
      <w:r w:rsidRPr="00E37CA1">
        <w:t>DPH (s uvedením výše DPH v %), cena včetně DPH.</w:t>
      </w:r>
    </w:p>
    <w:p w14:paraId="41224B84" w14:textId="77777777" w:rsidR="00E37CA1" w:rsidRPr="00632865" w:rsidRDefault="00E37CA1" w:rsidP="00E37CA1">
      <w:pPr>
        <w:spacing w:before="240"/>
        <w:rPr>
          <w:b/>
        </w:rPr>
      </w:pPr>
      <w:r w:rsidRPr="00632865">
        <w:rPr>
          <w:b/>
        </w:rPr>
        <w:t>Splátkový kalendář</w:t>
      </w:r>
    </w:p>
    <w:p w14:paraId="5BB7DF4B" w14:textId="77777777"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Bude předložen splátkový kalendář – termíny a výše splátek ceny za provedení základních opatření a finančních nákladů (úroků) a platby energetického managementu</w:t>
      </w:r>
    </w:p>
    <w:p w14:paraId="37FE2001" w14:textId="77777777" w:rsidR="009A4B51" w:rsidRDefault="009A4B51">
      <w:pPr>
        <w:spacing w:before="0"/>
        <w:jc w:val="left"/>
      </w:pPr>
      <w:bookmarkStart w:id="7" w:name="_Toc341474541"/>
    </w:p>
    <w:p w14:paraId="2B1EA573" w14:textId="77777777" w:rsidR="00E37CA1" w:rsidRDefault="009A4B5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r w:rsidRPr="009A4B51">
        <w:rPr>
          <w:b/>
        </w:rPr>
        <w:t xml:space="preserve">Pro zpracování této přílohy použijte </w:t>
      </w:r>
      <w:r>
        <w:rPr>
          <w:b/>
        </w:rPr>
        <w:t xml:space="preserve">mj. </w:t>
      </w:r>
      <w:r w:rsidR="00082BCF">
        <w:rPr>
          <w:b/>
        </w:rPr>
        <w:t>vzorový dokument</w:t>
      </w:r>
      <w:r w:rsidR="00082BCF" w:rsidRPr="009A4B51">
        <w:rPr>
          <w:b/>
        </w:rPr>
        <w:t xml:space="preserve"> </w:t>
      </w:r>
      <w:r w:rsidR="00FA48C3">
        <w:rPr>
          <w:b/>
        </w:rPr>
        <w:t>4</w:t>
      </w:r>
      <w:r w:rsidR="00082BCF">
        <w:rPr>
          <w:b/>
        </w:rPr>
        <w:t>e</w:t>
      </w:r>
      <w:r w:rsidRPr="009A4B51">
        <w:rPr>
          <w:b/>
        </w:rPr>
        <w:t>.</w:t>
      </w:r>
      <w:r w:rsidR="00E37CA1">
        <w:br w:type="page"/>
      </w:r>
    </w:p>
    <w:p w14:paraId="51BDF382" w14:textId="77777777" w:rsidR="00E37CA1" w:rsidRPr="00DE26F6" w:rsidRDefault="00E37CA1" w:rsidP="00FF6E77">
      <w:pPr>
        <w:pStyle w:val="Nadpis1"/>
        <w:rPr>
          <w:rFonts w:eastAsia="Calibri"/>
        </w:rPr>
      </w:pPr>
      <w:bookmarkStart w:id="8" w:name="_Toc56442119"/>
      <w:r w:rsidRPr="00FF6E77">
        <w:lastRenderedPageBreak/>
        <w:t>Příloha č. 4: Harmonogram realizace projektu</w:t>
      </w:r>
      <w:bookmarkEnd w:id="7"/>
      <w:bookmarkEnd w:id="8"/>
    </w:p>
    <w:p w14:paraId="7F33AE0B" w14:textId="77777777" w:rsidR="00E37CA1" w:rsidRPr="00E37CA1" w:rsidRDefault="00E37CA1" w:rsidP="00E37CA1">
      <w:r w:rsidRPr="00E37CA1">
        <w:t>Bude uveden hrubý harmonogram (časový postup realizace celého projektu) provádění základních investičních opatření – základní harmonogram poskytování služeb minimálně v členění na:</w:t>
      </w:r>
    </w:p>
    <w:p w14:paraId="7CA8EACE" w14:textId="77777777"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fáze I.: předběžné činnosti (ověření stavu využití energií v</w:t>
      </w:r>
      <w:r w:rsidR="00CF3764">
        <w:t> </w:t>
      </w:r>
      <w:r w:rsidRPr="00632865">
        <w:t>objektech</w:t>
      </w:r>
      <w:r w:rsidR="00CF3764">
        <w:t>)</w:t>
      </w:r>
      <w:r w:rsidRPr="00632865">
        <w:t>;</w:t>
      </w:r>
    </w:p>
    <w:p w14:paraId="7744E921" w14:textId="77777777"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fáze II.: provedení základních opatření;</w:t>
      </w:r>
    </w:p>
    <w:p w14:paraId="29B0806A" w14:textId="77777777"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fáze III.: poskytování garance.</w:t>
      </w:r>
    </w:p>
    <w:p w14:paraId="733B2BDC" w14:textId="77777777" w:rsidR="00E37CA1" w:rsidRPr="00444BB7" w:rsidRDefault="00E37CA1" w:rsidP="00E37CA1">
      <w:pPr>
        <w:rPr>
          <w:rFonts w:ascii="Verdana" w:hAnsi="Verdana"/>
          <w:sz w:val="20"/>
          <w:szCs w:val="22"/>
        </w:rPr>
      </w:pPr>
    </w:p>
    <w:p w14:paraId="400E9075" w14:textId="77777777" w:rsidR="00E37CA1" w:rsidRPr="00632865" w:rsidRDefault="00E37CA1" w:rsidP="00E37CA1">
      <w:pPr>
        <w:rPr>
          <w:i/>
        </w:rPr>
      </w:pPr>
      <w:r w:rsidRPr="00632865">
        <w:rPr>
          <w:i/>
        </w:rPr>
        <w:t>Poznámka:</w:t>
      </w:r>
    </w:p>
    <w:p w14:paraId="09C8A3F6" w14:textId="77777777" w:rsidR="00E37CA1" w:rsidRPr="00632865" w:rsidRDefault="00F00506" w:rsidP="00E37CA1">
      <w:pPr>
        <w:rPr>
          <w:i/>
        </w:rPr>
      </w:pPr>
      <w:r w:rsidRPr="0088538E">
        <w:rPr>
          <w:b/>
          <w:i/>
        </w:rPr>
        <w:t>V harmonogramu musí být uvedena zejména předpokládaná období realizace úprav</w:t>
      </w:r>
      <w:r w:rsidR="0088538E" w:rsidRPr="0088538E">
        <w:rPr>
          <w:b/>
          <w:i/>
        </w:rPr>
        <w:t>, které mohou ovlivnit standardní provoz budov (např. výměna osvětlení, úpravy</w:t>
      </w:r>
      <w:r w:rsidRPr="0088538E">
        <w:rPr>
          <w:b/>
          <w:i/>
        </w:rPr>
        <w:t xml:space="preserve"> na otopných soustavách</w:t>
      </w:r>
      <w:r w:rsidR="0088538E" w:rsidRPr="0088538E">
        <w:rPr>
          <w:b/>
          <w:i/>
        </w:rPr>
        <w:t xml:space="preserve"> apod.)</w:t>
      </w:r>
      <w:r w:rsidRPr="0088538E">
        <w:rPr>
          <w:b/>
          <w:i/>
        </w:rPr>
        <w:t>.</w:t>
      </w:r>
      <w:r>
        <w:rPr>
          <w:i/>
        </w:rPr>
        <w:t xml:space="preserve"> Uvedený</w:t>
      </w:r>
      <w:r w:rsidRPr="00632865">
        <w:rPr>
          <w:i/>
        </w:rPr>
        <w:t xml:space="preserve"> harmonogram </w:t>
      </w:r>
      <w:r>
        <w:rPr>
          <w:i/>
        </w:rPr>
        <w:t>může být</w:t>
      </w:r>
      <w:r w:rsidRPr="00632865">
        <w:rPr>
          <w:i/>
        </w:rPr>
        <w:t xml:space="preserve"> upřesňován</w:t>
      </w:r>
      <w:r>
        <w:rPr>
          <w:i/>
        </w:rPr>
        <w:t xml:space="preserve"> či upravován</w:t>
      </w:r>
      <w:r w:rsidRPr="00632865">
        <w:rPr>
          <w:i/>
        </w:rPr>
        <w:t xml:space="preserve"> </w:t>
      </w:r>
      <w:r>
        <w:rPr>
          <w:i/>
        </w:rPr>
        <w:t xml:space="preserve">po dohodě se zadavatelem </w:t>
      </w:r>
      <w:r w:rsidRPr="00632865">
        <w:rPr>
          <w:i/>
        </w:rPr>
        <w:t>v průběhu realizace projektu</w:t>
      </w:r>
      <w:r>
        <w:rPr>
          <w:i/>
        </w:rPr>
        <w:t>.</w:t>
      </w:r>
    </w:p>
    <w:p w14:paraId="7146C478" w14:textId="77777777" w:rsidR="00632865" w:rsidRDefault="00632865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9" w:name="_Toc341474542"/>
      <w:r>
        <w:br w:type="page"/>
      </w:r>
    </w:p>
    <w:p w14:paraId="42EC20F6" w14:textId="77777777" w:rsidR="00E37CA1" w:rsidRPr="00FF6E77" w:rsidRDefault="00E37CA1" w:rsidP="00FF6E77">
      <w:pPr>
        <w:pStyle w:val="Nadpis1"/>
      </w:pPr>
      <w:bookmarkStart w:id="10" w:name="_Toc56442120"/>
      <w:r w:rsidRPr="00FF6E77">
        <w:lastRenderedPageBreak/>
        <w:t>Příloha č. 5: Výše garantované úspory</w:t>
      </w:r>
      <w:bookmarkEnd w:id="9"/>
      <w:r w:rsidR="00DD4561" w:rsidRPr="00FF6E77">
        <w:t>, sankce za nedosažení garantované úspory a prémie za překročení garantované úspory</w:t>
      </w:r>
      <w:bookmarkEnd w:id="10"/>
    </w:p>
    <w:p w14:paraId="77B95076" w14:textId="77777777" w:rsidR="00E37CA1" w:rsidRPr="00E37CA1" w:rsidRDefault="00E37CA1" w:rsidP="00E37CA1">
      <w:r w:rsidRPr="00E37CA1">
        <w:t>Příloha povinně obsahuje:</w:t>
      </w:r>
    </w:p>
    <w:p w14:paraId="1B50A991" w14:textId="12E6133A" w:rsidR="00E37CA1" w:rsidRPr="00632865" w:rsidRDefault="00E37CA1" w:rsidP="00E44CF9">
      <w:pPr>
        <w:pStyle w:val="Odstavecseseznamem"/>
        <w:numPr>
          <w:ilvl w:val="0"/>
          <w:numId w:val="9"/>
        </w:numPr>
        <w:ind w:left="714" w:hanging="357"/>
        <w:contextualSpacing w:val="0"/>
      </w:pPr>
      <w:r w:rsidRPr="00632865">
        <w:t xml:space="preserve">Garantované úspory nákladů projektu EPC celkem dosažené realizací opatření dle Přílohy č. 2 – budou uvedeny roční a kumulované úspory nákladů. </w:t>
      </w:r>
      <w:r w:rsidR="009829A1" w:rsidRPr="009829A1">
        <w:rPr>
          <w:rFonts w:ascii="Calibri" w:eastAsia="Calibri" w:hAnsi="Calibri" w:cs="Arial"/>
          <w:bCs/>
          <w:szCs w:val="22"/>
          <w:lang w:eastAsia="en-US"/>
        </w:rPr>
        <w:t xml:space="preserve"> </w:t>
      </w:r>
      <w:r w:rsidR="009829A1">
        <w:rPr>
          <w:rFonts w:ascii="Calibri" w:eastAsia="Calibri" w:hAnsi="Calibri" w:cs="Arial"/>
          <w:bCs/>
          <w:szCs w:val="22"/>
          <w:lang w:eastAsia="en-US"/>
        </w:rPr>
        <w:t>Zadavatel požaduje, aby h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>odnocení úspor nákladů na energi</w:t>
      </w:r>
      <w:r w:rsidR="009829A1">
        <w:rPr>
          <w:rFonts w:ascii="Calibri" w:eastAsia="Calibri" w:hAnsi="Calibri" w:cs="Arial"/>
          <w:bCs/>
          <w:szCs w:val="22"/>
          <w:lang w:eastAsia="en-US"/>
        </w:rPr>
        <w:t>i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 xml:space="preserve"> b</w:t>
      </w:r>
      <w:r w:rsidR="009829A1">
        <w:rPr>
          <w:rFonts w:ascii="Calibri" w:eastAsia="Calibri" w:hAnsi="Calibri" w:cs="Arial"/>
          <w:bCs/>
          <w:szCs w:val="22"/>
          <w:lang w:eastAsia="en-US"/>
        </w:rPr>
        <w:t>ylo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 xml:space="preserve"> prováděno </w:t>
      </w:r>
      <w:r w:rsidR="009829A1" w:rsidRPr="0088538E">
        <w:rPr>
          <w:rFonts w:ascii="Calibri" w:eastAsia="Calibri" w:hAnsi="Calibri" w:cs="Arial"/>
          <w:b/>
          <w:bCs/>
          <w:szCs w:val="22"/>
          <w:lang w:eastAsia="en-US"/>
        </w:rPr>
        <w:t>na základě stálých cen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 xml:space="preserve"> z doby návrhu projektu</w:t>
      </w:r>
      <w:r w:rsidR="009829A1">
        <w:rPr>
          <w:rFonts w:ascii="Calibri" w:eastAsia="Calibri" w:hAnsi="Calibri" w:cs="Arial"/>
          <w:bCs/>
          <w:szCs w:val="22"/>
          <w:lang w:eastAsia="en-US"/>
        </w:rPr>
        <w:t>.</w:t>
      </w:r>
    </w:p>
    <w:p w14:paraId="0085EC55" w14:textId="77777777" w:rsidR="00E37CA1" w:rsidRPr="00632865" w:rsidRDefault="00E37CA1" w:rsidP="00E44CF9">
      <w:pPr>
        <w:pStyle w:val="Odstavecseseznamem"/>
        <w:numPr>
          <w:ilvl w:val="0"/>
          <w:numId w:val="9"/>
        </w:numPr>
        <w:ind w:left="714" w:hanging="357"/>
        <w:contextualSpacing w:val="0"/>
      </w:pPr>
      <w:r w:rsidRPr="00632865">
        <w:t xml:space="preserve">Způsob výpočtu sankce a výše sankce za nedosažení garantované úspory - bude uvedeno </w:t>
      </w:r>
      <w:r w:rsidR="00D20227">
        <w:br/>
      </w:r>
      <w:r w:rsidRPr="00632865">
        <w:t>a rozpracováno podle zadávací dokumentace a v souladu se smlouvou – článek 20.</w:t>
      </w:r>
    </w:p>
    <w:p w14:paraId="2CC82563" w14:textId="77777777" w:rsidR="00E37CA1" w:rsidRPr="00632865" w:rsidRDefault="00E37CA1" w:rsidP="00E44CF9">
      <w:pPr>
        <w:pStyle w:val="Odstavecseseznamem"/>
        <w:numPr>
          <w:ilvl w:val="0"/>
          <w:numId w:val="9"/>
        </w:numPr>
        <w:ind w:left="714" w:hanging="357"/>
        <w:contextualSpacing w:val="0"/>
      </w:pPr>
      <w:r w:rsidRPr="00632865">
        <w:t>Způsob výpočtu prémie a výše prémie – bude uvedeno a rozpracováno podle zadávací dokumentace a příloha bude v souladu se smlouvou, článkem 21 smlouvy.</w:t>
      </w:r>
    </w:p>
    <w:p w14:paraId="154F1CC3" w14:textId="77777777" w:rsidR="00A61DF4" w:rsidRDefault="00A61DF4" w:rsidP="00A61DF4">
      <w:pPr>
        <w:spacing w:line="276" w:lineRule="auto"/>
        <w:ind w:left="709"/>
      </w:pPr>
      <w:bookmarkStart w:id="11" w:name="_Toc341474543"/>
      <w:r>
        <w:rPr>
          <w:b/>
          <w:szCs w:val="22"/>
        </w:rPr>
        <w:t>Při stanovení prémie z</w:t>
      </w:r>
      <w:r w:rsidRPr="005B1311">
        <w:rPr>
          <w:b/>
          <w:szCs w:val="22"/>
        </w:rPr>
        <w:t xml:space="preserve">adavatel požaduje </w:t>
      </w:r>
      <w:r w:rsidRPr="0042510B">
        <w:rPr>
          <w:b/>
          <w:szCs w:val="22"/>
        </w:rPr>
        <w:t xml:space="preserve">poměr </w:t>
      </w:r>
      <w:r w:rsidR="008219AD" w:rsidRPr="0042510B">
        <w:rPr>
          <w:b/>
          <w:szCs w:val="22"/>
        </w:rPr>
        <w:t>7</w:t>
      </w:r>
      <w:r w:rsidRPr="0042510B">
        <w:rPr>
          <w:b/>
          <w:szCs w:val="22"/>
        </w:rPr>
        <w:t xml:space="preserve">0 % : </w:t>
      </w:r>
      <w:r w:rsidR="008219AD" w:rsidRPr="0042510B">
        <w:rPr>
          <w:b/>
          <w:szCs w:val="22"/>
        </w:rPr>
        <w:t>3</w:t>
      </w:r>
      <w:r w:rsidRPr="0042510B">
        <w:rPr>
          <w:b/>
          <w:szCs w:val="22"/>
        </w:rPr>
        <w:t>0 % dosažené</w:t>
      </w:r>
      <w:r w:rsidRPr="005B1311">
        <w:rPr>
          <w:b/>
          <w:szCs w:val="22"/>
        </w:rPr>
        <w:t xml:space="preserve"> nadúspory v jeho prospěch</w:t>
      </w:r>
      <w:r w:rsidRPr="005B1311">
        <w:rPr>
          <w:szCs w:val="22"/>
        </w:rPr>
        <w:t>.</w:t>
      </w:r>
    </w:p>
    <w:p w14:paraId="170F22FF" w14:textId="77777777" w:rsidR="00A61DF4" w:rsidRDefault="00A61DF4">
      <w:pPr>
        <w:spacing w:before="0"/>
        <w:jc w:val="left"/>
        <w:rPr>
          <w:b/>
        </w:rPr>
      </w:pPr>
    </w:p>
    <w:p w14:paraId="3ABE4AAB" w14:textId="77777777" w:rsidR="00632865" w:rsidRDefault="009A4B5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r w:rsidRPr="009A4B51">
        <w:rPr>
          <w:b/>
        </w:rPr>
        <w:t xml:space="preserve">Pro zpracování této přílohy použijte </w:t>
      </w:r>
      <w:r>
        <w:rPr>
          <w:b/>
        </w:rPr>
        <w:t xml:space="preserve">mj. </w:t>
      </w:r>
      <w:r w:rsidR="00082BCF">
        <w:rPr>
          <w:b/>
        </w:rPr>
        <w:t>vzorové dokumenty</w:t>
      </w:r>
      <w:r w:rsidR="00082BCF" w:rsidRPr="009A4B51">
        <w:rPr>
          <w:b/>
        </w:rPr>
        <w:t xml:space="preserve"> </w:t>
      </w:r>
      <w:r w:rsidR="00FA48C3">
        <w:rPr>
          <w:b/>
        </w:rPr>
        <w:t>4</w:t>
      </w:r>
      <w:r w:rsidR="00CD1D45">
        <w:rPr>
          <w:b/>
        </w:rPr>
        <w:t>b</w:t>
      </w:r>
      <w:r w:rsidR="00082BCF">
        <w:rPr>
          <w:b/>
        </w:rPr>
        <w:t xml:space="preserve">, </w:t>
      </w:r>
      <w:r w:rsidR="00FA48C3">
        <w:rPr>
          <w:b/>
        </w:rPr>
        <w:t>4</w:t>
      </w:r>
      <w:r w:rsidR="00082BCF">
        <w:rPr>
          <w:b/>
        </w:rPr>
        <w:t xml:space="preserve">c a </w:t>
      </w:r>
      <w:r w:rsidR="00FA48C3">
        <w:rPr>
          <w:b/>
        </w:rPr>
        <w:t>4</w:t>
      </w:r>
      <w:r w:rsidR="00082BCF">
        <w:rPr>
          <w:b/>
        </w:rPr>
        <w:t>d</w:t>
      </w:r>
      <w:r w:rsidRPr="009A4B51">
        <w:rPr>
          <w:b/>
        </w:rPr>
        <w:t>.</w:t>
      </w:r>
      <w:r w:rsidR="00632865">
        <w:br w:type="page"/>
      </w:r>
    </w:p>
    <w:p w14:paraId="314362E4" w14:textId="77777777" w:rsidR="00E37CA1" w:rsidRPr="00FF6E77" w:rsidRDefault="00E37CA1" w:rsidP="00FF6E77">
      <w:pPr>
        <w:pStyle w:val="Nadpis1"/>
      </w:pPr>
      <w:bookmarkStart w:id="12" w:name="_Toc56442121"/>
      <w:r w:rsidRPr="00FF6E77">
        <w:lastRenderedPageBreak/>
        <w:t>Příloha č. 6: Vyhodnocování dosažených úspor</w:t>
      </w:r>
      <w:bookmarkEnd w:id="11"/>
      <w:bookmarkEnd w:id="12"/>
      <w:r w:rsidRPr="00FF6E77">
        <w:t xml:space="preserve"> </w:t>
      </w:r>
    </w:p>
    <w:p w14:paraId="43E01C8F" w14:textId="027CFD11" w:rsidR="00F81DA8" w:rsidRDefault="00F81DA8" w:rsidP="00E37CA1">
      <w:r>
        <w:t>V této příloze bude podrobně popsán způsob vyhodnocování úspor v jednotlivých zúčtovacích obdobích</w:t>
      </w:r>
      <w:r w:rsidR="00E85ADB">
        <w:t>.</w:t>
      </w:r>
    </w:p>
    <w:p w14:paraId="0135A20B" w14:textId="1744C256" w:rsidR="00727238" w:rsidRPr="00727238" w:rsidRDefault="00E37CA1" w:rsidP="00E37CA1">
      <w:r w:rsidRPr="00727238">
        <w:t xml:space="preserve">Příloha k vyhodnocování dosažených úspor bude obsahovat všechny podstatné výpočty a údaje, využívané pro vyhodnocení dosažených a garantovaných výsledků projektu. </w:t>
      </w:r>
    </w:p>
    <w:p w14:paraId="019631FA" w14:textId="77777777" w:rsidR="00E37CA1" w:rsidRPr="00727238" w:rsidRDefault="00727238" w:rsidP="00E37CA1">
      <w:r>
        <w:rPr>
          <w:b/>
        </w:rPr>
        <w:t>Způsob vyhodnocování úspor bude v maximální míře odpovídat metodice</w:t>
      </w:r>
      <w:r w:rsidR="00E37CA1" w:rsidRPr="00727238">
        <w:rPr>
          <w:b/>
        </w:rPr>
        <w:t xml:space="preserve"> </w:t>
      </w:r>
      <w:r w:rsidRPr="00727238">
        <w:rPr>
          <w:b/>
        </w:rPr>
        <w:t>IPMVP</w:t>
      </w:r>
      <w:r>
        <w:t xml:space="preserve">, </w:t>
      </w:r>
      <w:r w:rsidRPr="00727238">
        <w:t xml:space="preserve">tj. </w:t>
      </w:r>
      <w:r w:rsidR="00E37CA1" w:rsidRPr="00727238">
        <w:t>Mezinárodní</w:t>
      </w:r>
      <w:r w:rsidRPr="00727238">
        <w:t>mu</w:t>
      </w:r>
      <w:r w:rsidR="00E37CA1" w:rsidRPr="00727238">
        <w:t xml:space="preserve"> protokol</w:t>
      </w:r>
      <w:r w:rsidRPr="00727238">
        <w:t>u</w:t>
      </w:r>
      <w:r w:rsidR="00E37CA1" w:rsidRPr="00727238">
        <w:t xml:space="preserve"> k měření a verifikaci úspor (International Performance Measurement and Verification Protocol) organizace EVO (Efficiency Valuation Organisation), který je v češtině dostupný na stránce </w:t>
      </w:r>
      <w:hyperlink r:id="rId8" w:history="1">
        <w:r w:rsidR="00632865" w:rsidRPr="00727238">
          <w:rPr>
            <w:rStyle w:val="Hypertextovodkaz"/>
            <w:noProof w:val="0"/>
            <w:szCs w:val="20"/>
          </w:rPr>
          <w:t>www.evo-world.org</w:t>
        </w:r>
      </w:hyperlink>
      <w:r w:rsidR="00632865" w:rsidRPr="00727238">
        <w:t>.</w:t>
      </w:r>
    </w:p>
    <w:p w14:paraId="7A07FD37" w14:textId="77777777" w:rsidR="006F5537" w:rsidRPr="00727238" w:rsidRDefault="004D1E66" w:rsidP="006F5537">
      <w:r w:rsidRPr="00727238">
        <w:t>Zadavatel požaduje</w:t>
      </w:r>
      <w:r w:rsidR="00E37CA1" w:rsidRPr="00727238">
        <w:rPr>
          <w:b/>
        </w:rPr>
        <w:t xml:space="preserve"> </w:t>
      </w:r>
      <w:r w:rsidR="00E37CA1" w:rsidRPr="00727238">
        <w:t>vyhodnocován</w:t>
      </w:r>
      <w:r w:rsidRPr="00727238">
        <w:t xml:space="preserve">í úspor </w:t>
      </w:r>
      <w:r w:rsidRPr="00DD4AAD">
        <w:rPr>
          <w:u w:val="single"/>
        </w:rPr>
        <w:t>formou</w:t>
      </w:r>
      <w:r w:rsidR="00E37CA1" w:rsidRPr="00DD4AAD">
        <w:rPr>
          <w:b/>
          <w:u w:val="single"/>
        </w:rPr>
        <w:t xml:space="preserve"> nerealizovan</w:t>
      </w:r>
      <w:r w:rsidRPr="00DD4AAD">
        <w:rPr>
          <w:b/>
          <w:u w:val="single"/>
        </w:rPr>
        <w:t>é</w:t>
      </w:r>
      <w:r w:rsidR="00E37CA1" w:rsidRPr="00DD4AAD">
        <w:rPr>
          <w:b/>
          <w:u w:val="single"/>
        </w:rPr>
        <w:t xml:space="preserve"> spotřeb</w:t>
      </w:r>
      <w:r w:rsidRPr="00DD4AAD">
        <w:rPr>
          <w:b/>
          <w:u w:val="single"/>
        </w:rPr>
        <w:t>y</w:t>
      </w:r>
      <w:r w:rsidR="00727238" w:rsidRPr="00DD4AAD">
        <w:rPr>
          <w:b/>
          <w:u w:val="single"/>
        </w:rPr>
        <w:t>/nerealizovaných nákladů</w:t>
      </w:r>
      <w:r w:rsidR="00727238">
        <w:rPr>
          <w:b/>
        </w:rPr>
        <w:t xml:space="preserve"> </w:t>
      </w:r>
      <w:r w:rsidR="00727238" w:rsidRPr="00727238">
        <w:t>(</w:t>
      </w:r>
      <w:r w:rsidR="006F5537">
        <w:t>dle bodu 1 níže</w:t>
      </w:r>
      <w:r w:rsidR="00727238" w:rsidRPr="00727238">
        <w:t>)</w:t>
      </w:r>
      <w:r w:rsidR="00E37CA1" w:rsidRPr="00727238">
        <w:t>.</w:t>
      </w:r>
      <w:r w:rsidR="00727238">
        <w:rPr>
          <w:b/>
        </w:rPr>
        <w:t xml:space="preserve"> </w:t>
      </w:r>
      <w:r w:rsidR="006F5537" w:rsidRPr="00727238">
        <w:t>Pokud jsou součástí úspor nákladů ostatní náklady (údržba, mzdové náklady apod.), bude stanoven způsob jejich vyhodnocení.</w:t>
      </w:r>
    </w:p>
    <w:p w14:paraId="1F8A1191" w14:textId="77777777" w:rsidR="00E37CA1" w:rsidRPr="00DD4AAD" w:rsidRDefault="00727238" w:rsidP="00632865">
      <w:pPr>
        <w:rPr>
          <w:b/>
          <w:u w:val="single"/>
        </w:rPr>
      </w:pPr>
      <w:r>
        <w:rPr>
          <w:b/>
        </w:rPr>
        <w:t>U každého opatření bude u</w:t>
      </w:r>
      <w:r w:rsidR="006F5537">
        <w:rPr>
          <w:b/>
        </w:rPr>
        <w:t xml:space="preserve">veden způsob vyhodnocení úspory, </w:t>
      </w:r>
      <w:r>
        <w:rPr>
          <w:b/>
        </w:rPr>
        <w:t xml:space="preserve">zvolena </w:t>
      </w:r>
      <w:r w:rsidR="006F5537">
        <w:rPr>
          <w:b/>
        </w:rPr>
        <w:t>hranice systému</w:t>
      </w:r>
      <w:r w:rsidR="006F5537" w:rsidRPr="006F5537">
        <w:rPr>
          <w:b/>
        </w:rPr>
        <w:t xml:space="preserve"> </w:t>
      </w:r>
      <w:r w:rsidR="006F5537">
        <w:rPr>
          <w:b/>
        </w:rPr>
        <w:t xml:space="preserve">a varianta vyhodnocení </w:t>
      </w:r>
      <w:r w:rsidR="006F5537" w:rsidRPr="006F5537">
        <w:t>(dle bodu 2 níže)</w:t>
      </w:r>
      <w:r w:rsidR="006F5537">
        <w:rPr>
          <w:b/>
        </w:rPr>
        <w:t xml:space="preserve">. </w:t>
      </w:r>
      <w:r w:rsidR="00A004A3" w:rsidRPr="00DD4AAD">
        <w:rPr>
          <w:b/>
          <w:u w:val="single"/>
        </w:rPr>
        <w:t>Příklady vy</w:t>
      </w:r>
      <w:r w:rsidR="006F5537" w:rsidRPr="00DD4AAD">
        <w:rPr>
          <w:b/>
          <w:u w:val="single"/>
        </w:rPr>
        <w:t xml:space="preserve">hodnocení </w:t>
      </w:r>
      <w:r w:rsidR="00A004A3" w:rsidRPr="00DD4AAD">
        <w:rPr>
          <w:b/>
          <w:u w:val="single"/>
        </w:rPr>
        <w:t>jednotlivých typů úsporných opatření budou uvedeny ve vzorové průběžné zprávě, která bude součástí nabídky.</w:t>
      </w:r>
    </w:p>
    <w:p w14:paraId="0ED0A618" w14:textId="77777777" w:rsidR="00727238" w:rsidRPr="006F5537" w:rsidRDefault="006F5537" w:rsidP="00632865">
      <w:r w:rsidRPr="004D1E66">
        <w:rPr>
          <w:b/>
        </w:rPr>
        <w:t xml:space="preserve">Splnění garance bude posuzováno </w:t>
      </w:r>
      <w:r>
        <w:rPr>
          <w:b/>
        </w:rPr>
        <w:t xml:space="preserve">vždy </w:t>
      </w:r>
      <w:r w:rsidR="00DD4AAD">
        <w:rPr>
          <w:b/>
        </w:rPr>
        <w:t xml:space="preserve">za </w:t>
      </w:r>
      <w:r>
        <w:rPr>
          <w:b/>
        </w:rPr>
        <w:t>zvolené</w:t>
      </w:r>
      <w:r w:rsidRPr="006F5537">
        <w:rPr>
          <w:b/>
        </w:rPr>
        <w:t xml:space="preserve"> zúčtovací období</w:t>
      </w:r>
      <w:r w:rsidRPr="006F5537">
        <w:t xml:space="preserve"> </w:t>
      </w:r>
      <w:r>
        <w:t>(</w:t>
      </w:r>
      <w:r w:rsidRPr="006F5537">
        <w:t>viz bod 3 níže)</w:t>
      </w:r>
      <w:r w:rsidRPr="004D1E66">
        <w:rPr>
          <w:b/>
        </w:rPr>
        <w:t xml:space="preserve">. </w:t>
      </w:r>
      <w:r w:rsidRPr="006F5537">
        <w:t>Zúčtovacím obdobím je primárně myšlen kalendářní rok, případně jiné období po sobě jdoucích 12 měsíců. Úspory budou vyhodnocovány měsíčně.</w:t>
      </w:r>
    </w:p>
    <w:p w14:paraId="7580A5F5" w14:textId="77777777" w:rsidR="006F5537" w:rsidRPr="006F5537" w:rsidRDefault="006F5537" w:rsidP="006F5537">
      <w:pPr>
        <w:rPr>
          <w:b/>
        </w:rPr>
      </w:pPr>
      <w:r w:rsidRPr="006F5537">
        <w:rPr>
          <w:b/>
        </w:rPr>
        <w:t xml:space="preserve">Zadavatel požaduje, aby hodnocení úspor nákladů na energii bylo prováděno na základě </w:t>
      </w:r>
      <w:r w:rsidRPr="00DD4AAD">
        <w:rPr>
          <w:b/>
          <w:u w:val="single"/>
        </w:rPr>
        <w:t xml:space="preserve">stálých </w:t>
      </w:r>
      <w:r w:rsidR="00DD4AAD" w:rsidRPr="00DD4AAD">
        <w:rPr>
          <w:b/>
          <w:u w:val="single"/>
        </w:rPr>
        <w:t xml:space="preserve">(referenčních) </w:t>
      </w:r>
      <w:r w:rsidRPr="00DD4AAD">
        <w:rPr>
          <w:b/>
          <w:u w:val="single"/>
        </w:rPr>
        <w:t>cen</w:t>
      </w:r>
      <w:r w:rsidR="00DD4AAD">
        <w:rPr>
          <w:b/>
        </w:rPr>
        <w:t xml:space="preserve"> </w:t>
      </w:r>
      <w:r w:rsidRPr="006F5537">
        <w:rPr>
          <w:b/>
        </w:rPr>
        <w:t xml:space="preserve">z doby návrhu projektu, tzn. z referenčního </w:t>
      </w:r>
      <w:r w:rsidR="00DD4AAD">
        <w:rPr>
          <w:b/>
        </w:rPr>
        <w:t>období</w:t>
      </w:r>
      <w:r w:rsidRPr="006F5537">
        <w:rPr>
          <w:b/>
        </w:rPr>
        <w:t>.</w:t>
      </w:r>
      <w:r w:rsidR="00DD4AAD">
        <w:rPr>
          <w:b/>
        </w:rPr>
        <w:t xml:space="preserve"> </w:t>
      </w:r>
    </w:p>
    <w:p w14:paraId="636B8D88" w14:textId="77777777" w:rsidR="00DD4AAD" w:rsidRDefault="00DD4AAD" w:rsidP="00632865"/>
    <w:p w14:paraId="3021790B" w14:textId="77777777" w:rsidR="00DD4AAD" w:rsidRDefault="00DD4AAD" w:rsidP="00632865"/>
    <w:p w14:paraId="0F2D5E49" w14:textId="77777777" w:rsidR="00DD4AAD" w:rsidRDefault="00DD4AAD" w:rsidP="00632865"/>
    <w:p w14:paraId="5A86CE57" w14:textId="77777777" w:rsidR="00DD4AAD" w:rsidRDefault="00DD4AAD" w:rsidP="00632865">
      <w:r>
        <w:t>-------------------------------------------------------------------------------------------------------------------------------------</w:t>
      </w:r>
    </w:p>
    <w:p w14:paraId="00A6C5D0" w14:textId="77777777" w:rsidR="006F5537" w:rsidRPr="006F5537" w:rsidRDefault="006F5537" w:rsidP="00632865">
      <w:r>
        <w:t>Níže j</w:t>
      </w:r>
      <w:r w:rsidR="00DD4AAD">
        <w:t>e</w:t>
      </w:r>
      <w:r>
        <w:t xml:space="preserve"> </w:t>
      </w:r>
      <w:r w:rsidR="00DD4AAD">
        <w:t xml:space="preserve">informativně </w:t>
      </w:r>
      <w:r>
        <w:t xml:space="preserve">uveden </w:t>
      </w:r>
      <w:r w:rsidR="00DD4AAD">
        <w:t xml:space="preserve">výtah </w:t>
      </w:r>
      <w:r>
        <w:t>hlavní</w:t>
      </w:r>
      <w:r w:rsidR="00DD4AAD">
        <w:t>ch</w:t>
      </w:r>
      <w:r>
        <w:t xml:space="preserve"> část</w:t>
      </w:r>
      <w:r w:rsidR="00DD4AAD">
        <w:t>í</w:t>
      </w:r>
      <w:r>
        <w:t xml:space="preserve"> metodiky protokolu IPMVP.</w:t>
      </w:r>
    </w:p>
    <w:p w14:paraId="18FF66C0" w14:textId="77777777" w:rsidR="00727238" w:rsidRPr="00A004A3" w:rsidRDefault="00727238" w:rsidP="00727238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i/>
          <w:szCs w:val="22"/>
        </w:rPr>
      </w:pPr>
      <w:r w:rsidRPr="00A004A3">
        <w:rPr>
          <w:b/>
          <w:i/>
          <w:szCs w:val="22"/>
        </w:rPr>
        <w:t>Druh úspor, které budou vyhodnocovány</w:t>
      </w:r>
    </w:p>
    <w:p w14:paraId="19159158" w14:textId="77777777" w:rsidR="00727238" w:rsidRPr="00A004A3" w:rsidRDefault="00727238" w:rsidP="00727238">
      <w:pPr>
        <w:rPr>
          <w:i/>
          <w:szCs w:val="22"/>
        </w:rPr>
      </w:pPr>
      <w:r w:rsidRPr="00A004A3">
        <w:rPr>
          <w:i/>
          <w:szCs w:val="22"/>
        </w:rPr>
        <w:t>Když řekneme „úspory“, máme na mysli dvě možnosti:</w:t>
      </w:r>
    </w:p>
    <w:p w14:paraId="6B75A7C8" w14:textId="77777777" w:rsidR="00727238" w:rsidRPr="00A004A3" w:rsidRDefault="00727238" w:rsidP="00727238">
      <w:pPr>
        <w:pStyle w:val="Odstavecseseznamem"/>
        <w:numPr>
          <w:ilvl w:val="0"/>
          <w:numId w:val="10"/>
        </w:numPr>
        <w:contextualSpacing w:val="0"/>
        <w:rPr>
          <w:i/>
          <w:szCs w:val="22"/>
        </w:rPr>
      </w:pPr>
      <w:r w:rsidRPr="00A004A3">
        <w:rPr>
          <w:i/>
          <w:szCs w:val="22"/>
        </w:rPr>
        <w:t xml:space="preserve">Nerealizovanou spotřebu energie (nerealizované náklady)    </w:t>
      </w:r>
    </w:p>
    <w:p w14:paraId="1BB29ECE" w14:textId="77777777" w:rsidR="00727238" w:rsidRPr="00A004A3" w:rsidRDefault="00727238" w:rsidP="00727238">
      <w:pPr>
        <w:ind w:firstLine="357"/>
        <w:rPr>
          <w:i/>
          <w:szCs w:val="22"/>
        </w:rPr>
      </w:pPr>
      <w:r w:rsidRPr="00A004A3">
        <w:rPr>
          <w:i/>
          <w:szCs w:val="22"/>
        </w:rPr>
        <w:t>nebo</w:t>
      </w:r>
    </w:p>
    <w:p w14:paraId="2E82F95D" w14:textId="77777777" w:rsidR="00727238" w:rsidRPr="00A004A3" w:rsidRDefault="00727238" w:rsidP="00727238">
      <w:pPr>
        <w:pStyle w:val="Odstavecseseznamem"/>
        <w:numPr>
          <w:ilvl w:val="0"/>
          <w:numId w:val="10"/>
        </w:numPr>
        <w:ind w:left="714" w:hanging="357"/>
        <w:contextualSpacing w:val="0"/>
        <w:rPr>
          <w:i/>
          <w:szCs w:val="22"/>
        </w:rPr>
      </w:pPr>
      <w:r w:rsidRPr="00A004A3">
        <w:rPr>
          <w:i/>
          <w:szCs w:val="22"/>
        </w:rPr>
        <w:t>Normalizované úspory.</w:t>
      </w:r>
    </w:p>
    <w:p w14:paraId="71A524EC" w14:textId="77777777" w:rsidR="00727238" w:rsidRPr="00A004A3" w:rsidRDefault="00727238" w:rsidP="00727238">
      <w:pPr>
        <w:rPr>
          <w:i/>
          <w:szCs w:val="22"/>
        </w:rPr>
      </w:pPr>
      <w:r w:rsidRPr="00A004A3">
        <w:rPr>
          <w:i/>
          <w:szCs w:val="22"/>
        </w:rPr>
        <w:t xml:space="preserve">Je důležité pochopit rozdíl a stanovit o jaké vyhodnocení se bude jednat. Způsob výpočtu je definován ve většině případů zadávací dokumentací. Nejběžnější způsob vykazování výsledků energeticky úsporných opatření je formou „nerealizovaných nákladů“.  </w:t>
      </w:r>
    </w:p>
    <w:p w14:paraId="67865E27" w14:textId="77777777" w:rsidR="00727238" w:rsidRPr="00A004A3" w:rsidRDefault="00727238" w:rsidP="00727238">
      <w:pPr>
        <w:spacing w:before="240"/>
        <w:rPr>
          <w:b/>
          <w:i/>
          <w:szCs w:val="22"/>
        </w:rPr>
      </w:pPr>
      <w:r w:rsidRPr="00A004A3">
        <w:rPr>
          <w:b/>
          <w:i/>
          <w:szCs w:val="22"/>
        </w:rPr>
        <w:t>Nerealizovaná spotřeba/nerealizované náklady</w:t>
      </w:r>
    </w:p>
    <w:p w14:paraId="28D6F814" w14:textId="77777777" w:rsidR="00727238" w:rsidRPr="00A004A3" w:rsidRDefault="00727238" w:rsidP="00727238">
      <w:pPr>
        <w:rPr>
          <w:i/>
          <w:szCs w:val="22"/>
        </w:rPr>
      </w:pPr>
      <w:r w:rsidRPr="00A004A3">
        <w:rPr>
          <w:i/>
          <w:szCs w:val="22"/>
        </w:rPr>
        <w:t xml:space="preserve">Abychom mohli propočíst „nerealizované náklady“, musíme určit, jaká by byla výše nákladů </w:t>
      </w:r>
      <w:r w:rsidRPr="00A004A3">
        <w:rPr>
          <w:i/>
          <w:szCs w:val="22"/>
        </w:rPr>
        <w:br/>
        <w:t xml:space="preserve">za zúčtovací období, pokud by bývalo nedošlo k rekonstrukci. Pro vykázání „nerealizované“ spotřeby energie nebo nákladů musíme upravit spotřebu/odběr energie ve výchozím – referenčním - období na podmínky zúčtovacího období. Tzn., že platí (viz rovnice 1b) v IPMVP, sv. I, 2010, kapitola 4.6.1): </w:t>
      </w:r>
    </w:p>
    <w:p w14:paraId="59F7DF0C" w14:textId="77777777" w:rsidR="00727238" w:rsidRPr="00A004A3" w:rsidRDefault="00727238" w:rsidP="00727238">
      <w:pPr>
        <w:ind w:left="709"/>
        <w:rPr>
          <w:i/>
          <w:color w:val="C00000"/>
          <w:szCs w:val="22"/>
        </w:rPr>
      </w:pPr>
      <w:r w:rsidRPr="00A004A3">
        <w:rPr>
          <w:i/>
          <w:color w:val="C00000"/>
          <w:szCs w:val="22"/>
        </w:rPr>
        <w:t>Úspory vykázané za jakékoli období = upravená spotřeba energie (náklady) v referenčním období  -  spotřeba energie (náklady) v zúčtovacím období +/- nestandardní úpravy</w:t>
      </w:r>
    </w:p>
    <w:p w14:paraId="1534A9A7" w14:textId="77777777" w:rsidR="00727238" w:rsidRPr="00A004A3" w:rsidRDefault="00727238" w:rsidP="00727238">
      <w:pPr>
        <w:rPr>
          <w:i/>
          <w:szCs w:val="22"/>
        </w:rPr>
      </w:pPr>
      <w:r w:rsidRPr="00A004A3">
        <w:rPr>
          <w:i/>
          <w:szCs w:val="22"/>
        </w:rPr>
        <w:lastRenderedPageBreak/>
        <w:t>Rozsah úprav se mění v jednotlivých obdobích z důvodu měnících se podmínek zúčtovacího období.</w:t>
      </w:r>
    </w:p>
    <w:p w14:paraId="205D1A6D" w14:textId="77777777" w:rsidR="00727238" w:rsidRPr="00A004A3" w:rsidRDefault="00727238" w:rsidP="00727238">
      <w:pPr>
        <w:spacing w:before="240"/>
        <w:rPr>
          <w:b/>
          <w:i/>
          <w:szCs w:val="22"/>
        </w:rPr>
      </w:pPr>
      <w:r w:rsidRPr="00A004A3">
        <w:rPr>
          <w:b/>
          <w:i/>
          <w:szCs w:val="22"/>
        </w:rPr>
        <w:t xml:space="preserve">Normalizované úspory </w:t>
      </w:r>
    </w:p>
    <w:p w14:paraId="2ECB8843" w14:textId="77777777" w:rsidR="00727238" w:rsidRPr="00A004A3" w:rsidRDefault="00727238" w:rsidP="00727238">
      <w:pPr>
        <w:rPr>
          <w:i/>
          <w:szCs w:val="22"/>
        </w:rPr>
      </w:pPr>
      <w:r w:rsidRPr="00A004A3">
        <w:rPr>
          <w:i/>
          <w:szCs w:val="22"/>
        </w:rPr>
        <w:t xml:space="preserve">Normalizovaná úspora je způsob vykazování úspor, který říká: “za běžných podmínek by úspory bývaly byly ……”. Běžné podmínky mohou být jakékoli pevně stanovené podmínky – (např. dlouhodobý průměr nebo hodnoty z určitého roku. Pro vykazování „normalizovaných úspor“ je třeba, aby pro referenční i zúčtovací období platily stejné běžné/ standardní podmínky. Musíme upravit: </w:t>
      </w:r>
    </w:p>
    <w:p w14:paraId="513742D0" w14:textId="77777777" w:rsidR="00727238" w:rsidRPr="00A004A3" w:rsidRDefault="00727238" w:rsidP="00727238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 xml:space="preserve">spotřebu v referenčním období na pevně stanovené běžné podmínky, a </w:t>
      </w:r>
    </w:p>
    <w:p w14:paraId="500B028C" w14:textId="77777777" w:rsidR="00727238" w:rsidRPr="00A004A3" w:rsidRDefault="00727238" w:rsidP="00727238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spotřebu v zúčtovacím období na pevně stanovené běžné podmínky.</w:t>
      </w:r>
    </w:p>
    <w:p w14:paraId="516D9EA8" w14:textId="77777777" w:rsidR="00727238" w:rsidRPr="00A004A3" w:rsidRDefault="00727238" w:rsidP="00727238">
      <w:pPr>
        <w:rPr>
          <w:i/>
          <w:szCs w:val="22"/>
        </w:rPr>
      </w:pPr>
      <w:r w:rsidRPr="00A004A3">
        <w:rPr>
          <w:i/>
          <w:szCs w:val="22"/>
        </w:rPr>
        <w:t xml:space="preserve">Obě úpravy jsou provedeny na stejné pevně stanovené „běžné“ (pevně stanovené) podmínky </w:t>
      </w:r>
      <w:r w:rsidRPr="00A004A3">
        <w:rPr>
          <w:i/>
          <w:szCs w:val="22"/>
        </w:rPr>
        <w:br/>
        <w:t>(viz rovnice 1c) v IPMVP, sv. I, 2010, kapitola 4.6.2). Běžné, pevně stanovené podmínky, budou v každé průběžné zprávě k vykazovaným úsporám uvedeny.</w:t>
      </w:r>
    </w:p>
    <w:p w14:paraId="756C7F26" w14:textId="77777777" w:rsidR="00727238" w:rsidRPr="00A004A3" w:rsidRDefault="00727238" w:rsidP="00727238">
      <w:pPr>
        <w:ind w:left="709"/>
        <w:rPr>
          <w:i/>
          <w:color w:val="C00000"/>
          <w:szCs w:val="22"/>
        </w:rPr>
      </w:pPr>
      <w:r w:rsidRPr="00A004A3">
        <w:rPr>
          <w:i/>
          <w:color w:val="C00000"/>
          <w:szCs w:val="22"/>
        </w:rPr>
        <w:t xml:space="preserve">Úspory vykázané za jakékoli období = upravená spotřeba energie (náklady) v referenčním období +/-  nestandardní úpravy na pevné podmínky - upravená spotřeba energie (náklady) v zúčtovacím období </w:t>
      </w:r>
      <w:r w:rsidRPr="00A004A3">
        <w:rPr>
          <w:i/>
          <w:color w:val="C00000"/>
          <w:szCs w:val="22"/>
        </w:rPr>
        <w:sym w:font="Symbol" w:char="F0B1"/>
      </w:r>
      <w:r w:rsidRPr="00A004A3">
        <w:rPr>
          <w:i/>
          <w:color w:val="C00000"/>
          <w:szCs w:val="22"/>
        </w:rPr>
        <w:t xml:space="preserve"> nestandardní úpravy na pevné podmínky.</w:t>
      </w:r>
    </w:p>
    <w:p w14:paraId="5E56D920" w14:textId="77777777" w:rsidR="00E37CA1" w:rsidRPr="00A004A3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i/>
          <w:szCs w:val="22"/>
        </w:rPr>
      </w:pPr>
      <w:r w:rsidRPr="00A004A3">
        <w:rPr>
          <w:b/>
          <w:i/>
          <w:szCs w:val="22"/>
        </w:rPr>
        <w:t>Vybraná varianta IPMVP a hranice systému</w:t>
      </w:r>
    </w:p>
    <w:p w14:paraId="44D4986F" w14:textId="77777777" w:rsidR="00E37CA1" w:rsidRPr="00A004A3" w:rsidRDefault="00E37CA1" w:rsidP="00632865">
      <w:pPr>
        <w:rPr>
          <w:i/>
          <w:szCs w:val="22"/>
        </w:rPr>
      </w:pPr>
      <w:r w:rsidRPr="00A004A3">
        <w:rPr>
          <w:i/>
          <w:szCs w:val="22"/>
        </w:rPr>
        <w:t>Bude uvedena varianta IPMVP – způsob vyhodnocení úspory, kterou ESCO použije. Způsob vyhodnocení úspory jasně stanoví pro každou veličinu, zdali hodnotíme spotřebu energie:</w:t>
      </w:r>
    </w:p>
    <w:p w14:paraId="2AE8C52C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celého objektu</w:t>
      </w:r>
    </w:p>
    <w:p w14:paraId="3EE10393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jednoho nebo více systémů (osvětlení, HVAC, stlačený vzduch apod.)</w:t>
      </w:r>
    </w:p>
    <w:p w14:paraId="5952E908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jednu nebo více komponent (kotel, chladič, motor, osvětlovací těleso, čerpadlo, ventilátor atp.)</w:t>
      </w:r>
    </w:p>
    <w:p w14:paraId="5CC2AE72" w14:textId="77777777" w:rsidR="00E37CA1" w:rsidRPr="00A004A3" w:rsidRDefault="00E37CA1" w:rsidP="00632865">
      <w:pPr>
        <w:rPr>
          <w:i/>
          <w:szCs w:val="22"/>
        </w:rPr>
      </w:pPr>
      <w:r w:rsidRPr="00A004A3">
        <w:rPr>
          <w:i/>
          <w:szCs w:val="22"/>
        </w:rPr>
        <w:t>Podle toho definuje IPMVP čtyři obecné metody (nazvané varianta A, B, C a D), které pokrývají rozsah potenciálních projektů energetických úspor. Bude uvedena zvolená varianta.</w:t>
      </w:r>
    </w:p>
    <w:p w14:paraId="33AB43C0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VARIANTA A – při způsobu oddělené rekonstrukce se využívá měření klíčového parametru (parametrů) hospodárnosti a odhadu všech ostatních.</w:t>
      </w:r>
    </w:p>
    <w:p w14:paraId="4C52EBA6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 xml:space="preserve">VARIANTA B – při způsobu oddělené rekonstrukce se využívá měření všech parametrů ovlivňujících užití energie nebo měření užití energie. </w:t>
      </w:r>
    </w:p>
    <w:p w14:paraId="24272369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VARIANTA C – celý objekt, využívá data z účtů za energie nebo z odečtu měřidel.</w:t>
      </w:r>
    </w:p>
    <w:p w14:paraId="0C864066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VARIANTA D – kalibrovaná simulace, používá uznávané počítačové simulační nástroje (zveřejněné na webu EVO).</w:t>
      </w:r>
    </w:p>
    <w:p w14:paraId="156146F3" w14:textId="77777777" w:rsidR="00727238" w:rsidRPr="00A004A3" w:rsidRDefault="00727238" w:rsidP="00727238">
      <w:pPr>
        <w:rPr>
          <w:i/>
          <w:szCs w:val="22"/>
        </w:rPr>
      </w:pPr>
      <w:r w:rsidRPr="00A004A3">
        <w:rPr>
          <w:b/>
          <w:i/>
          <w:szCs w:val="22"/>
        </w:rPr>
        <w:t>Celý objekt</w:t>
      </w:r>
      <w:r w:rsidRPr="00A004A3">
        <w:rPr>
          <w:i/>
          <w:szCs w:val="22"/>
        </w:rPr>
        <w:t xml:space="preserve"> – globálně bere v úvahu úspory celého objektu a posuzuje celkovou spotřebu energie bez hodnocení energetické náročnosti rekonstruovaného zařízení nebo systémů.</w:t>
      </w:r>
    </w:p>
    <w:p w14:paraId="4FEB8D1A" w14:textId="77777777" w:rsidR="00E37CA1" w:rsidRPr="00A004A3" w:rsidRDefault="00E37CA1" w:rsidP="00632865">
      <w:pPr>
        <w:rPr>
          <w:i/>
          <w:szCs w:val="22"/>
        </w:rPr>
      </w:pPr>
      <w:r w:rsidRPr="00A004A3">
        <w:rPr>
          <w:b/>
          <w:i/>
          <w:szCs w:val="22"/>
        </w:rPr>
        <w:t>Oddělená rekonstrukce</w:t>
      </w:r>
      <w:r w:rsidRPr="00A004A3">
        <w:rPr>
          <w:i/>
          <w:szCs w:val="22"/>
        </w:rPr>
        <w:t xml:space="preserve"> – bere v úvahu pouze úspory z rekonstruovaného zařízení nebo systému nezávisle na spotřebě energie zbývající části objektu.</w:t>
      </w:r>
    </w:p>
    <w:p w14:paraId="1A90FA76" w14:textId="77777777" w:rsidR="00E37CA1" w:rsidRPr="00A004A3" w:rsidRDefault="00E37CA1" w:rsidP="00632865">
      <w:pPr>
        <w:rPr>
          <w:i/>
          <w:szCs w:val="22"/>
        </w:rPr>
      </w:pPr>
      <w:r w:rsidRPr="00A004A3">
        <w:rPr>
          <w:i/>
          <w:szCs w:val="22"/>
        </w:rPr>
        <w:t xml:space="preserve">Výběr varianty podle IPMVP je rozhodnutí, které učiní uchazeč na základě celého souboru podmínek projektu, analýzy, rozpočtů a odborného úsudku. Zvolená varianta musí být relevantní danému projektu a navrženým opatřením k úspoře energie, vody, či materiálu a náklady na měření, jeho přesnost a četnost a náklady na verifikaci musí být úměrné rozsahu a velikosti projektu. </w:t>
      </w:r>
    </w:p>
    <w:p w14:paraId="46E53671" w14:textId="77777777" w:rsidR="00E37CA1" w:rsidRPr="00A004A3" w:rsidRDefault="00E37CA1" w:rsidP="00632865">
      <w:pPr>
        <w:rPr>
          <w:i/>
          <w:szCs w:val="22"/>
        </w:rPr>
      </w:pPr>
      <w:r w:rsidRPr="00A004A3">
        <w:rPr>
          <w:i/>
          <w:szCs w:val="22"/>
        </w:rPr>
        <w:t>Pro stanovení hranice je zapotřebí, aby uchazeč zvážil:</w:t>
      </w:r>
    </w:p>
    <w:p w14:paraId="62666205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odpovědnost různých stran za spotřebu energie a za rekonstrukci</w:t>
      </w:r>
    </w:p>
    <w:p w14:paraId="0CCB32E9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svou schopnost sledovat změny objektu a jeho spotřebu – v rámci zvolené hranice.</w:t>
      </w:r>
    </w:p>
    <w:p w14:paraId="6A6CC6FE" w14:textId="77777777" w:rsidR="00CD1D45" w:rsidRDefault="00CD1D45" w:rsidP="00CD1D45">
      <w:pPr>
        <w:rPr>
          <w:b/>
          <w:i/>
          <w:szCs w:val="22"/>
        </w:rPr>
      </w:pPr>
      <w:r w:rsidRPr="00A004A3">
        <w:rPr>
          <w:i/>
          <w:szCs w:val="22"/>
        </w:rPr>
        <w:t>Navržené způsoby prokazování úspor budou předmětem jednán</w:t>
      </w:r>
      <w:r w:rsidR="0088538E" w:rsidRPr="00A004A3">
        <w:rPr>
          <w:i/>
          <w:szCs w:val="22"/>
        </w:rPr>
        <w:t>í</w:t>
      </w:r>
      <w:r w:rsidRPr="00A004A3">
        <w:rPr>
          <w:b/>
          <w:i/>
          <w:szCs w:val="22"/>
        </w:rPr>
        <w:t>.</w:t>
      </w:r>
    </w:p>
    <w:p w14:paraId="6A1B00DF" w14:textId="77777777" w:rsidR="008219AD" w:rsidRPr="00A004A3" w:rsidRDefault="008219AD" w:rsidP="00CD1D45">
      <w:pPr>
        <w:rPr>
          <w:b/>
          <w:i/>
          <w:szCs w:val="22"/>
        </w:rPr>
      </w:pPr>
    </w:p>
    <w:p w14:paraId="28FD5BDB" w14:textId="77777777" w:rsidR="00E37CA1" w:rsidRPr="00A004A3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i/>
          <w:szCs w:val="22"/>
        </w:rPr>
      </w:pPr>
      <w:r w:rsidRPr="00A004A3">
        <w:rPr>
          <w:b/>
          <w:i/>
          <w:szCs w:val="22"/>
        </w:rPr>
        <w:lastRenderedPageBreak/>
        <w:t xml:space="preserve">Zúčtovací období </w:t>
      </w:r>
    </w:p>
    <w:p w14:paraId="1AB9A92B" w14:textId="77777777" w:rsidR="00E37CA1" w:rsidRPr="00A004A3" w:rsidRDefault="00E37CA1" w:rsidP="00632865">
      <w:pPr>
        <w:rPr>
          <w:i/>
          <w:szCs w:val="22"/>
        </w:rPr>
      </w:pPr>
      <w:r w:rsidRPr="00A004A3">
        <w:rPr>
          <w:i/>
          <w:szCs w:val="22"/>
        </w:rPr>
        <w:t xml:space="preserve">Tato příloha uvede termíny zahájení a ukončení zúčtovacího období, termíny podávání zpráv – průběžných za jednotlivá zúčtovací období a konečného vyúčtování úspor. </w:t>
      </w:r>
    </w:p>
    <w:p w14:paraId="5F9B8A78" w14:textId="77777777" w:rsidR="00E37CA1" w:rsidRPr="00A004A3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i/>
          <w:szCs w:val="22"/>
        </w:rPr>
      </w:pPr>
      <w:r w:rsidRPr="00A004A3">
        <w:rPr>
          <w:b/>
          <w:i/>
          <w:szCs w:val="22"/>
        </w:rPr>
        <w:t>Provádění analýzy – základy pro úpravu</w:t>
      </w:r>
    </w:p>
    <w:p w14:paraId="6D1C121B" w14:textId="77777777" w:rsidR="00E37CA1" w:rsidRPr="00A004A3" w:rsidRDefault="00E37CA1" w:rsidP="00632865">
      <w:pPr>
        <w:rPr>
          <w:i/>
          <w:szCs w:val="22"/>
        </w:rPr>
      </w:pPr>
      <w:r w:rsidRPr="00A004A3">
        <w:rPr>
          <w:i/>
          <w:szCs w:val="22"/>
        </w:rPr>
        <w:t xml:space="preserve">Analýza výchozích dat o spotřebě energie znamená vytvoření matematických modelů pro korelaci: </w:t>
      </w:r>
    </w:p>
    <w:p w14:paraId="68EF80F4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 xml:space="preserve">spotřeby energie a </w:t>
      </w:r>
    </w:p>
    <w:p w14:paraId="47330741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nezávislých proměnných a statických faktorů s vlivy na spotřebu energie</w:t>
      </w:r>
    </w:p>
    <w:p w14:paraId="0BAA10B3" w14:textId="77777777" w:rsidR="00E37CA1" w:rsidRPr="00A004A3" w:rsidRDefault="00E37CA1" w:rsidP="00632865">
      <w:pPr>
        <w:rPr>
          <w:i/>
          <w:szCs w:val="22"/>
        </w:rPr>
      </w:pPr>
      <w:r w:rsidRPr="00A004A3">
        <w:rPr>
          <w:i/>
          <w:szCs w:val="22"/>
        </w:rPr>
        <w:t xml:space="preserve">Referenční data musí zahrnovat za </w:t>
      </w:r>
      <w:r w:rsidRPr="00A004A3">
        <w:rPr>
          <w:b/>
          <w:i/>
          <w:szCs w:val="22"/>
        </w:rPr>
        <w:t>referenční (výchozí) období</w:t>
      </w:r>
      <w:r w:rsidRPr="00A004A3">
        <w:rPr>
          <w:i/>
          <w:szCs w:val="22"/>
        </w:rPr>
        <w:t>:</w:t>
      </w:r>
    </w:p>
    <w:p w14:paraId="164F4C77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 xml:space="preserve">data veškeré spotřeby (a odběru) energie </w:t>
      </w:r>
    </w:p>
    <w:p w14:paraId="7B3535DD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 xml:space="preserve">všechna data nezávislých proměnných (pro </w:t>
      </w:r>
      <w:r w:rsidRPr="00A004A3">
        <w:rPr>
          <w:b/>
          <w:i/>
          <w:szCs w:val="22"/>
        </w:rPr>
        <w:t>standardní úpravy</w:t>
      </w:r>
      <w:r w:rsidRPr="00A004A3">
        <w:rPr>
          <w:i/>
          <w:szCs w:val="22"/>
        </w:rPr>
        <w:t xml:space="preserve">) </w:t>
      </w:r>
    </w:p>
    <w:p w14:paraId="436047CF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 xml:space="preserve">všechny další faktory významně ovlivňující spotřebu energie kvůli zjištění, kdy došlo ke změně výchozích podmínek (potřebujících </w:t>
      </w:r>
      <w:r w:rsidRPr="00A004A3">
        <w:rPr>
          <w:b/>
          <w:i/>
          <w:szCs w:val="22"/>
        </w:rPr>
        <w:t>nestandardní úpravu</w:t>
      </w:r>
      <w:r w:rsidRPr="00A004A3">
        <w:rPr>
          <w:i/>
          <w:szCs w:val="22"/>
        </w:rPr>
        <w:t xml:space="preserve">). Tyto faktory se nazývají </w:t>
      </w:r>
      <w:r w:rsidRPr="00A004A3">
        <w:rPr>
          <w:b/>
          <w:i/>
          <w:szCs w:val="22"/>
        </w:rPr>
        <w:t>statické faktory</w:t>
      </w:r>
      <w:r w:rsidRPr="00A004A3">
        <w:rPr>
          <w:i/>
          <w:szCs w:val="22"/>
        </w:rPr>
        <w:t xml:space="preserve">, aby se odlišily od proměnných, které se standardně mění. </w:t>
      </w:r>
    </w:p>
    <w:p w14:paraId="5FAFB906" w14:textId="77777777" w:rsidR="00E37CA1" w:rsidRPr="00A004A3" w:rsidRDefault="00E37CA1" w:rsidP="00632865">
      <w:pPr>
        <w:rPr>
          <w:i/>
          <w:szCs w:val="22"/>
        </w:rPr>
      </w:pPr>
      <w:r w:rsidRPr="00A004A3">
        <w:rPr>
          <w:b/>
          <w:i/>
          <w:szCs w:val="22"/>
        </w:rPr>
        <w:t>Nezávislé proměnné</w:t>
      </w:r>
      <w:r w:rsidRPr="00A004A3">
        <w:rPr>
          <w:i/>
          <w:szCs w:val="22"/>
        </w:rPr>
        <w:t xml:space="preserve"> jsou faktory určující spotřebu energie, které se běžně mění a významně ovlivňují spotřebu energie. Je třeba stanovit, jaké proměnné běžně ovlivňují spotřebu energie, jak významný je vliv každé proměnné, jak získáme data o každé proměnné, jak zjistíme (nebo stanovíme) nezávislé proměnné. Vyberte pouze proměnné nutné k přiměřenému doložení výkyvů ve výchozích datech (např. provozní hodiny, počet topných dnů, apod.). Zvažte důležitost vlivů mimo zvolenou hranici, známých jako „interaktivní vlivy“.</w:t>
      </w:r>
    </w:p>
    <w:p w14:paraId="7359F970" w14:textId="77777777" w:rsidR="00E37CA1" w:rsidRPr="00A004A3" w:rsidRDefault="00E37CA1" w:rsidP="00632865">
      <w:pPr>
        <w:rPr>
          <w:i/>
          <w:szCs w:val="22"/>
        </w:rPr>
      </w:pPr>
      <w:r w:rsidRPr="00A004A3">
        <w:rPr>
          <w:i/>
          <w:szCs w:val="22"/>
        </w:rPr>
        <w:t>Budou uvedeny rovnice a způsoby výpočtu výsledků projektu. Bude uveden soubor podmínek, podle kterých budou všechna energetická měření upravena. Může jít o podmínky vykazovaného období nebo o nějaký další soubor stanovených podmínek. Tento výběr stanovuje, zda jsou úspory vykazovány jako nerealizovaná spotřeba energie nebo jako normalizované úspory.</w:t>
      </w:r>
    </w:p>
    <w:p w14:paraId="5DC32ADB" w14:textId="77777777" w:rsidR="00E37CA1" w:rsidRPr="00A004A3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i/>
          <w:szCs w:val="22"/>
        </w:rPr>
      </w:pPr>
      <w:r w:rsidRPr="00A004A3">
        <w:rPr>
          <w:b/>
          <w:i/>
          <w:szCs w:val="22"/>
        </w:rPr>
        <w:t>Ceny energie</w:t>
      </w:r>
    </w:p>
    <w:p w14:paraId="2350066D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b/>
          <w:i/>
          <w:szCs w:val="22"/>
        </w:rPr>
        <w:t>Úspory nákladů</w:t>
      </w:r>
      <w:r w:rsidRPr="00A004A3">
        <w:rPr>
          <w:i/>
          <w:szCs w:val="22"/>
        </w:rPr>
        <w:t xml:space="preserve"> jsou stanoveny použitím příslušného cenového harmonogramu v následující rovnici:</w:t>
      </w:r>
    </w:p>
    <w:p w14:paraId="50134888" w14:textId="77777777" w:rsidR="00E37CA1" w:rsidRPr="00A004A3" w:rsidRDefault="00E37CA1" w:rsidP="00E44CF9">
      <w:pPr>
        <w:ind w:left="709"/>
        <w:rPr>
          <w:i/>
          <w:color w:val="C00000"/>
          <w:szCs w:val="22"/>
        </w:rPr>
      </w:pPr>
      <w:r w:rsidRPr="00A004A3">
        <w:rPr>
          <w:i/>
          <w:color w:val="C00000"/>
          <w:szCs w:val="22"/>
        </w:rPr>
        <w:t>Úspory nákladů = Cb – Cr</w:t>
      </w:r>
    </w:p>
    <w:p w14:paraId="0ED26772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i/>
          <w:szCs w:val="22"/>
        </w:rPr>
        <w:t>Kde:</w:t>
      </w:r>
    </w:p>
    <w:p w14:paraId="38D73251" w14:textId="77777777" w:rsidR="00E37CA1" w:rsidRPr="00A004A3" w:rsidRDefault="00E37CA1" w:rsidP="00E37CA1">
      <w:pPr>
        <w:ind w:left="708"/>
        <w:rPr>
          <w:i/>
          <w:szCs w:val="22"/>
        </w:rPr>
      </w:pPr>
      <w:r w:rsidRPr="00A004A3">
        <w:rPr>
          <w:i/>
          <w:szCs w:val="22"/>
        </w:rPr>
        <w:t>C</w:t>
      </w:r>
      <w:r w:rsidRPr="00A004A3">
        <w:rPr>
          <w:i/>
          <w:szCs w:val="22"/>
          <w:vertAlign w:val="subscript"/>
        </w:rPr>
        <w:t>b</w:t>
      </w:r>
      <w:r w:rsidRPr="00A004A3">
        <w:rPr>
          <w:i/>
          <w:szCs w:val="22"/>
        </w:rPr>
        <w:t xml:space="preserve"> = náklady na spotřebu energie v referenčním období plus všechny úpravy</w:t>
      </w:r>
      <w:r w:rsidR="00CF1AB5" w:rsidRPr="00A004A3">
        <w:rPr>
          <w:i/>
          <w:szCs w:val="22"/>
        </w:rPr>
        <w:fldChar w:fldCharType="begin"/>
      </w:r>
      <w:r w:rsidRPr="00A004A3">
        <w:rPr>
          <w:i/>
          <w:szCs w:val="22"/>
        </w:rPr>
        <w:instrText xml:space="preserve"> XE "adjustments" </w:instrText>
      </w:r>
      <w:r w:rsidR="00CF1AB5" w:rsidRPr="00A004A3">
        <w:rPr>
          <w:i/>
          <w:szCs w:val="22"/>
        </w:rPr>
        <w:fldChar w:fldCharType="end"/>
      </w:r>
      <w:r w:rsidRPr="00A004A3">
        <w:rPr>
          <w:i/>
          <w:szCs w:val="22"/>
          <w:vertAlign w:val="superscript"/>
        </w:rPr>
        <w:footnoteReference w:id="1"/>
      </w:r>
      <w:r w:rsidRPr="00A004A3">
        <w:rPr>
          <w:i/>
          <w:szCs w:val="22"/>
        </w:rPr>
        <w:t xml:space="preserve"> </w:t>
      </w:r>
    </w:p>
    <w:p w14:paraId="32B22638" w14:textId="77777777" w:rsidR="00CD1D45" w:rsidRPr="00A004A3" w:rsidRDefault="00E37CA1" w:rsidP="00CD1D45">
      <w:pPr>
        <w:ind w:left="708"/>
        <w:rPr>
          <w:i/>
          <w:szCs w:val="22"/>
        </w:rPr>
      </w:pPr>
      <w:r w:rsidRPr="00A004A3">
        <w:rPr>
          <w:i/>
          <w:szCs w:val="22"/>
        </w:rPr>
        <w:t>C</w:t>
      </w:r>
      <w:r w:rsidRPr="00A004A3">
        <w:rPr>
          <w:i/>
          <w:szCs w:val="22"/>
          <w:vertAlign w:val="subscript"/>
        </w:rPr>
        <w:t>r</w:t>
      </w:r>
      <w:r w:rsidRPr="00A004A3">
        <w:rPr>
          <w:i/>
          <w:szCs w:val="22"/>
        </w:rPr>
        <w:t xml:space="preserve"> = náklady na spotřebu energie v zúčtovacím období plus všechny úpravy </w:t>
      </w:r>
    </w:p>
    <w:p w14:paraId="7770EF2F" w14:textId="77777777" w:rsidR="00E37CA1" w:rsidRPr="00A004A3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i/>
          <w:szCs w:val="22"/>
        </w:rPr>
      </w:pPr>
      <w:r w:rsidRPr="00A004A3">
        <w:rPr>
          <w:b/>
          <w:i/>
          <w:szCs w:val="22"/>
        </w:rPr>
        <w:t>Očekávaná přesnost a zdroje dat</w:t>
      </w:r>
    </w:p>
    <w:p w14:paraId="4294CACC" w14:textId="77777777" w:rsidR="00E37CA1" w:rsidRPr="00A004A3" w:rsidRDefault="00E37CA1" w:rsidP="00E44CF9">
      <w:pPr>
        <w:spacing w:before="240"/>
        <w:rPr>
          <w:b/>
          <w:i/>
          <w:szCs w:val="22"/>
        </w:rPr>
      </w:pPr>
      <w:r w:rsidRPr="00A004A3">
        <w:rPr>
          <w:b/>
          <w:i/>
          <w:szCs w:val="22"/>
        </w:rPr>
        <w:t>Přesnost dat</w:t>
      </w:r>
    </w:p>
    <w:p w14:paraId="6134BD2A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i/>
          <w:szCs w:val="22"/>
        </w:rPr>
        <w:t>Doporučujeme uvést očekávanou přesnost v souvislosti s měřením, a případně analýzou dat, pokud je uvedení této přesnosti potřebné. Hodnocení přesnosti by mělo zahrnovat kvantitativní měřítka úrovně nejistoty při měření a úpravách, která budou použita v plánovaném vykázání úspor. To zahrnuje přesnost měření a dalších dat, chyby modelování, nepřesnosti či chyby výpočtů, chyby dat. V tomto ohledu je třeba uvést, že údaje z fakturačních měřidel se považují automaticky za 100% přesné (IPMVP). Na základě těchto měření se platí za energii, proto je nelze rozporovat.</w:t>
      </w:r>
    </w:p>
    <w:p w14:paraId="3F49D1EB" w14:textId="77777777" w:rsidR="00E37CA1" w:rsidRPr="00A004A3" w:rsidRDefault="00E37CA1" w:rsidP="00E44CF9">
      <w:pPr>
        <w:spacing w:before="240"/>
        <w:rPr>
          <w:b/>
          <w:i/>
          <w:szCs w:val="22"/>
        </w:rPr>
      </w:pPr>
      <w:r w:rsidRPr="00A004A3">
        <w:rPr>
          <w:b/>
          <w:i/>
          <w:szCs w:val="22"/>
        </w:rPr>
        <w:lastRenderedPageBreak/>
        <w:t>Zdroje dat:</w:t>
      </w:r>
    </w:p>
    <w:p w14:paraId="0E070029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i/>
          <w:szCs w:val="22"/>
        </w:rPr>
        <w:t>Energetická data o spotřebě paliv, vody a energie pocházejí z měřicích přístrojů dodavatelů energie nebo z účtů za energie, nebo z oddělených měřidel. Nutno uvést způsob sběru dat, způsob měření spotřeby paliv, vody a energie před a po instalaci základních opatření.</w:t>
      </w:r>
    </w:p>
    <w:p w14:paraId="3D9DEBED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i/>
          <w:szCs w:val="22"/>
        </w:rPr>
        <w:t xml:space="preserve">Data nezávislých proměnných ‐ uveďte zdroje dat: z meteorologických stanic, záznamů objektu, řídicích systémů, apod. Průměrné měsíční venkovní teploty a počty topných dnů budou převzaty od stejného zdroje a pro stejnou lokalitu, jako teploty a počty topných dnů uvedené pro referenční období v Příloze č. 1. </w:t>
      </w:r>
    </w:p>
    <w:p w14:paraId="6E70C46D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i/>
          <w:szCs w:val="22"/>
        </w:rPr>
        <w:t>U každého případného zdroje dat zvažte jeho P-D-S-N:</w:t>
      </w:r>
    </w:p>
    <w:p w14:paraId="772C87EC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b/>
          <w:i/>
          <w:szCs w:val="22"/>
        </w:rPr>
        <w:t>P</w:t>
      </w:r>
      <w:r w:rsidRPr="00A004A3">
        <w:rPr>
          <w:i/>
          <w:szCs w:val="22"/>
        </w:rPr>
        <w:t xml:space="preserve">řesnost dat  </w:t>
      </w:r>
    </w:p>
    <w:p w14:paraId="02677288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b/>
          <w:i/>
          <w:szCs w:val="22"/>
        </w:rPr>
        <w:t>D</w:t>
      </w:r>
      <w:r w:rsidRPr="00A004A3">
        <w:rPr>
          <w:i/>
          <w:szCs w:val="22"/>
        </w:rPr>
        <w:t xml:space="preserve">ostupnost dat v případě potřeby </w:t>
      </w:r>
    </w:p>
    <w:p w14:paraId="55A18061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b/>
          <w:i/>
          <w:szCs w:val="22"/>
        </w:rPr>
        <w:t>S</w:t>
      </w:r>
      <w:r w:rsidRPr="00A004A3">
        <w:rPr>
          <w:i/>
          <w:szCs w:val="22"/>
        </w:rPr>
        <w:t xml:space="preserve">polehlivost dat </w:t>
      </w:r>
    </w:p>
    <w:p w14:paraId="2FC6F331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b/>
          <w:i/>
          <w:szCs w:val="22"/>
        </w:rPr>
        <w:t>N</w:t>
      </w:r>
      <w:r w:rsidRPr="00A004A3">
        <w:rPr>
          <w:i/>
          <w:szCs w:val="22"/>
        </w:rPr>
        <w:t xml:space="preserve">áklady na získání dat </w:t>
      </w:r>
    </w:p>
    <w:p w14:paraId="7E6C6322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i/>
          <w:szCs w:val="22"/>
        </w:rPr>
        <w:t>Uveďte, kde hodláte instalovat nová měření.</w:t>
      </w:r>
    </w:p>
    <w:p w14:paraId="1F24025E" w14:textId="77777777" w:rsidR="00E37CA1" w:rsidRPr="00A004A3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i/>
          <w:szCs w:val="22"/>
        </w:rPr>
      </w:pPr>
      <w:r w:rsidRPr="00A004A3">
        <w:rPr>
          <w:b/>
          <w:i/>
          <w:szCs w:val="22"/>
        </w:rPr>
        <w:t xml:space="preserve">Výpočet úspory paliv, vody a energie, výpočet úspory nákladů – výše a způsob úpravy referenčních hodnot spotřeby energií </w:t>
      </w:r>
    </w:p>
    <w:p w14:paraId="437BA318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i/>
          <w:szCs w:val="22"/>
        </w:rPr>
        <w:t xml:space="preserve">V souladu s navrženým způsobem měření a verifikace výsledků, zvolené varianty podle IPMVP, </w:t>
      </w:r>
      <w:r w:rsidR="00D20227" w:rsidRPr="00A004A3">
        <w:rPr>
          <w:i/>
          <w:szCs w:val="22"/>
        </w:rPr>
        <w:br/>
      </w:r>
      <w:r w:rsidRPr="00A004A3">
        <w:rPr>
          <w:i/>
          <w:szCs w:val="22"/>
        </w:rPr>
        <w:t xml:space="preserve">z popsaných a získaných dat bude provedeno vyhodnocení úspory po jednotlivých objektech </w:t>
      </w:r>
      <w:r w:rsidR="00D20227" w:rsidRPr="00A004A3">
        <w:rPr>
          <w:i/>
          <w:szCs w:val="22"/>
        </w:rPr>
        <w:br/>
      </w:r>
      <w:r w:rsidRPr="00A004A3">
        <w:rPr>
          <w:i/>
          <w:szCs w:val="22"/>
        </w:rPr>
        <w:t>a po jednotlivých druzích paliv a energie. Proveďte porovnání propočtené nerealizované spotřeby/nerealizovaných nákladů s garantovanou spotřebou. Úspory budou vyhodnocovány měsíčně. Porovnání dosažené úspory s garantovanou úsporou bude prováděno ročně za zúčtovací období.</w:t>
      </w:r>
    </w:p>
    <w:p w14:paraId="792CAC7A" w14:textId="77777777" w:rsidR="00E37CA1" w:rsidRPr="00A004A3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i/>
          <w:szCs w:val="22"/>
        </w:rPr>
      </w:pPr>
      <w:r w:rsidRPr="00A004A3">
        <w:rPr>
          <w:b/>
          <w:i/>
          <w:szCs w:val="22"/>
        </w:rPr>
        <w:t>Zajištění kvality</w:t>
      </w:r>
    </w:p>
    <w:p w14:paraId="41E1BF94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i/>
          <w:szCs w:val="22"/>
        </w:rPr>
        <w:t>Pro zajištění kvality komplexní služby poskytované ESCO je nezbytná součinnost ze strany Klienta, která je definována v Příloze č. 7. V  popisu postupů pro zajištění kvality verifikace dosažených úspor bude věnována pozornost zejména následujícím otázkám:</w:t>
      </w:r>
    </w:p>
    <w:p w14:paraId="0C7F62F7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 xml:space="preserve">Popis zdrojů, toků, ukládání, zabezpečení a archivace dat </w:t>
      </w:r>
    </w:p>
    <w:p w14:paraId="0E045B2D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 xml:space="preserve">Stanovení četnosti sběru dat v rámci zúčtovacího období </w:t>
      </w:r>
    </w:p>
    <w:p w14:paraId="582A7EB9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Stanovení odpovědnosti za sběr dat a za průběžné vyhodnocování výsledků</w:t>
      </w:r>
    </w:p>
    <w:p w14:paraId="714C73F1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 xml:space="preserve">Stanovení odpovědnosti za údržbu a za kalibraci měřidel </w:t>
      </w:r>
    </w:p>
    <w:p w14:paraId="1D08E49B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Postupy průběžného vyhodnocování výsledků v rámci zúčtovacího období</w:t>
      </w:r>
    </w:p>
    <w:p w14:paraId="7936D21E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Postupy přijímání nápravných preventivních opatření na základě průběžných výsledků</w:t>
      </w:r>
    </w:p>
    <w:p w14:paraId="4727B180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Postupy ověření správnosti naměřených dat</w:t>
      </w:r>
    </w:p>
    <w:p w14:paraId="58D144DB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Stanovení postupů, termínů a odpovědností za odstranění poruch měření a sběru dat</w:t>
      </w:r>
    </w:p>
    <w:p w14:paraId="6F4B58BA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Stanovení postupů náhradního stanovení výše dosažené úspory v případě výpadku sběru dat</w:t>
      </w:r>
    </w:p>
    <w:p w14:paraId="3897C93D" w14:textId="77777777" w:rsidR="00E37CA1" w:rsidRPr="00A004A3" w:rsidRDefault="00E37CA1" w:rsidP="00E37CA1">
      <w:pPr>
        <w:rPr>
          <w:i/>
          <w:szCs w:val="22"/>
        </w:rPr>
      </w:pPr>
      <w:r w:rsidRPr="00A004A3">
        <w:rPr>
          <w:i/>
          <w:szCs w:val="22"/>
        </w:rPr>
        <w:t>V této příloze budou popsány postupy pro zajištění kvality.</w:t>
      </w:r>
    </w:p>
    <w:p w14:paraId="320FF1C4" w14:textId="77777777" w:rsidR="00E37CA1" w:rsidRPr="00A004A3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i/>
          <w:szCs w:val="22"/>
        </w:rPr>
      </w:pPr>
      <w:r w:rsidRPr="00A004A3">
        <w:rPr>
          <w:b/>
          <w:i/>
          <w:szCs w:val="22"/>
        </w:rPr>
        <w:t>Průběžná zpráva o vyhodnocení úspor energie a nákladů</w:t>
      </w:r>
    </w:p>
    <w:p w14:paraId="28BAC66B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i/>
          <w:szCs w:val="22"/>
        </w:rPr>
        <w:t xml:space="preserve">Jak je uvedeno v Článku 15 Smlouvy, ESCO bude ročně předkládat průběžnou zprávu hodnotící uplynulé zúčtovací období (zpráva se předkládá do 60 dnů po ukončení zúčtovacího období). </w:t>
      </w:r>
    </w:p>
    <w:p w14:paraId="205AC506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i/>
          <w:szCs w:val="22"/>
        </w:rPr>
        <w:t xml:space="preserve">Průběžné zprávy </w:t>
      </w:r>
      <w:r w:rsidRPr="00A004A3">
        <w:rPr>
          <w:b/>
          <w:i/>
          <w:szCs w:val="22"/>
        </w:rPr>
        <w:t>o vyhodnocení úspor energie a nákladů</w:t>
      </w:r>
      <w:r w:rsidRPr="00A004A3">
        <w:rPr>
          <w:i/>
          <w:szCs w:val="22"/>
        </w:rPr>
        <w:t xml:space="preserve"> budou připravovány a předkládány způsobem, definovaným v plánu M&amp;V (viz IPMVP), a proto budou zahrnovat alespoň:</w:t>
      </w:r>
    </w:p>
    <w:p w14:paraId="55453BF6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lastRenderedPageBreak/>
        <w:t xml:space="preserve">Popis provozu energetického systému během zúčtovacího období; včetně popisu odchylek </w:t>
      </w:r>
      <w:r w:rsidR="00D20227" w:rsidRPr="00A004A3">
        <w:rPr>
          <w:i/>
          <w:szCs w:val="22"/>
        </w:rPr>
        <w:br/>
      </w:r>
      <w:r w:rsidRPr="00A004A3">
        <w:rPr>
          <w:i/>
          <w:szCs w:val="22"/>
        </w:rPr>
        <w:t>od standardního provozu energetického systému během zúčtovacího období;</w:t>
      </w:r>
    </w:p>
    <w:p w14:paraId="5C1A42D4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Popis všech změn objektu, opravňujících k úpravám výchozího stavu, a výpočet potřebné úpravy sledovaných dat.</w:t>
      </w:r>
    </w:p>
    <w:p w14:paraId="76829F85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 xml:space="preserve">Surová – primární data za vykazované období (energie a nezávislé proměnné), tj. sledovaná data z vykazovaného období, časové údaje o začátku a konci období, kdy se provádělo měření, energetická data a hodnoty nezávislých proměnných </w:t>
      </w:r>
    </w:p>
    <w:p w14:paraId="0C2EAFB9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Použité ceny energie nebo cenových tarifů</w:t>
      </w:r>
    </w:p>
    <w:p w14:paraId="7618102A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U varianty A odsouhlasené odhadnuté hodnoty.</w:t>
      </w:r>
    </w:p>
    <w:p w14:paraId="143111CC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Všechny podrobnosti provedených nestandardních úprav výchozího stavu. Podrobnosti by měly zahrnovat vysvětlení změny podmínek od výchozího období, všechny sledované skutečnosti a předpoklady a technické výpočty vedoucí k úpravě.</w:t>
      </w:r>
    </w:p>
    <w:p w14:paraId="3984805F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Specifikaci provedených dodatečných opatření, která mají vliv na dosahovanou úsporu;</w:t>
      </w:r>
    </w:p>
    <w:p w14:paraId="2B3D9E5F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 xml:space="preserve">Výši dosažených úspor paliv vody a energie v technických jednotkách – po jednotlivých areálech/objektech </w:t>
      </w:r>
    </w:p>
    <w:p w14:paraId="75F15E87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Výši dosažených úspor nákladů po jednotlivých areálech/objektech;</w:t>
      </w:r>
    </w:p>
    <w:p w14:paraId="47C44DD7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Porovnání dosažené a garantované úspory;</w:t>
      </w:r>
    </w:p>
    <w:p w14:paraId="50EB010E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Závěr, zda garantované úspory bylo dosaženo či ne, příp. zda Klientovi vzniklo právo na sankci nebo ESCO vzniklo právo na prémii.</w:t>
      </w:r>
    </w:p>
    <w:p w14:paraId="629448A8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Jméno zpracovatele průběžné zprávy a kontakty na něho</w:t>
      </w:r>
    </w:p>
    <w:p w14:paraId="6DB43550" w14:textId="77777777" w:rsidR="00E37CA1" w:rsidRPr="00A004A3" w:rsidRDefault="00E37CA1" w:rsidP="00E44CF9">
      <w:pPr>
        <w:pStyle w:val="Odstavecseseznamem"/>
        <w:numPr>
          <w:ilvl w:val="0"/>
          <w:numId w:val="8"/>
        </w:numPr>
        <w:rPr>
          <w:i/>
          <w:szCs w:val="22"/>
        </w:rPr>
      </w:pPr>
      <w:r w:rsidRPr="00A004A3">
        <w:rPr>
          <w:i/>
          <w:szCs w:val="22"/>
        </w:rPr>
        <w:t>Podpis oprávněné osoby</w:t>
      </w:r>
    </w:p>
    <w:p w14:paraId="356E2790" w14:textId="77777777" w:rsidR="00E37CA1" w:rsidRPr="00A004A3" w:rsidRDefault="00E37CA1" w:rsidP="00E44CF9">
      <w:pPr>
        <w:rPr>
          <w:i/>
          <w:szCs w:val="22"/>
        </w:rPr>
      </w:pPr>
      <w:r w:rsidRPr="00A004A3">
        <w:rPr>
          <w:i/>
          <w:szCs w:val="22"/>
        </w:rPr>
        <w:t xml:space="preserve">Schválená průběžná zpráva s vyhodnocením dosažených úspor za příslušné zúčtovací období, zahrnující případně připomínky Klienta k ní, je podkladem pro schválení </w:t>
      </w:r>
      <w:r w:rsidRPr="00A004A3">
        <w:rPr>
          <w:b/>
          <w:i/>
          <w:szCs w:val="22"/>
        </w:rPr>
        <w:t xml:space="preserve">protokolu za příslušné zúčtovací období </w:t>
      </w:r>
      <w:r w:rsidRPr="00A004A3">
        <w:rPr>
          <w:i/>
          <w:szCs w:val="22"/>
        </w:rPr>
        <w:t>a je jeho povinnou přílohou spolu s dalšími informacemi, vyplývajícími z Článku 15.</w:t>
      </w:r>
    </w:p>
    <w:p w14:paraId="5DF08F8F" w14:textId="77777777" w:rsidR="00E44CF9" w:rsidRPr="006F5537" w:rsidRDefault="00E44CF9">
      <w:pPr>
        <w:spacing w:before="0"/>
        <w:jc w:val="left"/>
        <w:rPr>
          <w:rFonts w:cs="Arial"/>
          <w:b/>
          <w:bCs/>
          <w:i/>
          <w:color w:val="336699"/>
          <w:kern w:val="32"/>
          <w:sz w:val="32"/>
          <w:szCs w:val="32"/>
        </w:rPr>
      </w:pPr>
      <w:bookmarkStart w:id="13" w:name="_Toc341474544"/>
      <w:r w:rsidRPr="006F5537">
        <w:rPr>
          <w:i/>
        </w:rPr>
        <w:br w:type="page"/>
      </w:r>
    </w:p>
    <w:p w14:paraId="70C04F64" w14:textId="77777777" w:rsidR="00E37CA1" w:rsidRPr="00DE26F6" w:rsidRDefault="00E37CA1" w:rsidP="00FF6E77">
      <w:pPr>
        <w:pStyle w:val="Nadpis1"/>
        <w:rPr>
          <w:rFonts w:eastAsia="Calibri"/>
        </w:rPr>
      </w:pPr>
      <w:bookmarkStart w:id="14" w:name="_Toc56442122"/>
      <w:r w:rsidRPr="00FF6E77">
        <w:lastRenderedPageBreak/>
        <w:t>Příloha č. 7: Energetický management</w:t>
      </w:r>
      <w:bookmarkEnd w:id="13"/>
      <w:bookmarkEnd w:id="14"/>
    </w:p>
    <w:p w14:paraId="1CB2A57E" w14:textId="77777777" w:rsidR="00E37CA1" w:rsidRPr="00E44CF9" w:rsidRDefault="00E37CA1" w:rsidP="00E37CA1">
      <w:r w:rsidRPr="00E44CF9">
        <w:t xml:space="preserve">Energetický management je nedílnou součástí služeb poskytovaných ESCO v rámci této smlouvy, je nezbytný pro dosažení garantované úspory, pro její prokázání a pro její vyhodnocení. Zahrnuje </w:t>
      </w:r>
      <w:r w:rsidR="00D20227">
        <w:br/>
      </w:r>
      <w:r w:rsidRPr="00E44CF9">
        <w:t xml:space="preserve">i doporučování dalších možností, jak zlepšit hospodaření s energií. </w:t>
      </w:r>
    </w:p>
    <w:p w14:paraId="0C83977C" w14:textId="77777777" w:rsidR="00E37CA1" w:rsidRPr="00E44CF9" w:rsidRDefault="00E37CA1" w:rsidP="00E37CA1">
      <w:r w:rsidRPr="00E44CF9">
        <w:t xml:space="preserve">Energetický management není možné vykonávat bez náležité smluvně sjednané součinnosti Klienta. Proto bude v této příloze definován: </w:t>
      </w:r>
    </w:p>
    <w:p w14:paraId="2F57392E" w14:textId="197C0677" w:rsidR="00E37CA1" w:rsidRPr="0042510B" w:rsidRDefault="00E37CA1" w:rsidP="00E44CF9">
      <w:pPr>
        <w:pStyle w:val="Odstavecseseznamem"/>
        <w:numPr>
          <w:ilvl w:val="0"/>
          <w:numId w:val="8"/>
        </w:numPr>
      </w:pPr>
      <w:r w:rsidRPr="0042510B">
        <w:t>Energetický management – činnosti a povinnosti ESCO - zahrnuje zejména činnosti uvedené v Článku 11, které jsou podrobně rozepsány v této příloze.</w:t>
      </w:r>
    </w:p>
    <w:p w14:paraId="403957FA" w14:textId="77777777" w:rsidR="00E37CA1" w:rsidRPr="00E44CF9" w:rsidRDefault="00E37CA1" w:rsidP="00E85ADB">
      <w:pPr>
        <w:pStyle w:val="Odstavecseseznamem"/>
        <w:numPr>
          <w:ilvl w:val="0"/>
          <w:numId w:val="8"/>
        </w:numPr>
        <w:ind w:left="714" w:hanging="357"/>
        <w:contextualSpacing w:val="0"/>
      </w:pPr>
      <w:r w:rsidRPr="00E44CF9">
        <w:t>Energetický management – ostatní činnosti a povinnosti Klienta</w:t>
      </w:r>
      <w:r w:rsidR="00A004A3">
        <w:t>.</w:t>
      </w:r>
    </w:p>
    <w:p w14:paraId="72F0E97C" w14:textId="77777777" w:rsidR="00E44CF9" w:rsidRDefault="00E44CF9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15" w:name="_Toc341474545"/>
      <w:r>
        <w:br w:type="page"/>
      </w:r>
    </w:p>
    <w:p w14:paraId="1F3A27D2" w14:textId="77777777" w:rsidR="00E37CA1" w:rsidRPr="00FF6E77" w:rsidRDefault="00E37CA1" w:rsidP="00FF6E77">
      <w:pPr>
        <w:pStyle w:val="Nadpis1"/>
        <w:rPr>
          <w:rFonts w:eastAsia="Calibri"/>
        </w:rPr>
      </w:pPr>
      <w:bookmarkStart w:id="16" w:name="_Toc56442123"/>
      <w:r w:rsidRPr="00FF6E77">
        <w:lastRenderedPageBreak/>
        <w:t>Příloha č. 8: Oprávněné osoby</w:t>
      </w:r>
      <w:bookmarkEnd w:id="15"/>
      <w:bookmarkEnd w:id="16"/>
    </w:p>
    <w:p w14:paraId="15165AD0" w14:textId="77777777" w:rsidR="00E37CA1" w:rsidRPr="00E44CF9" w:rsidRDefault="00E37CA1" w:rsidP="00E37CA1">
      <w:r w:rsidRPr="00E44CF9">
        <w:t>Budou uvedeny oprávněné osoby ESCO, které odpovídají za jednotlivé fáze projektu EPC a za projekt jako celek.</w:t>
      </w:r>
    </w:p>
    <w:p w14:paraId="15A6A7E5" w14:textId="77777777" w:rsidR="00E37CA1" w:rsidRPr="00E44CF9" w:rsidRDefault="00E37CA1" w:rsidP="00E37CA1">
      <w:r w:rsidRPr="00E44CF9">
        <w:t xml:space="preserve">V této příloze uvede před uzavřením smlouvy také Klient pověřené osoby pro jednotlivé objekty </w:t>
      </w:r>
      <w:r w:rsidR="00D20227">
        <w:br/>
      </w:r>
      <w:r w:rsidRPr="00E44CF9">
        <w:t>a za Klienta celkem.</w:t>
      </w:r>
    </w:p>
    <w:p w14:paraId="3583B6DC" w14:textId="77777777" w:rsidR="00E44CF9" w:rsidRDefault="00E44CF9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17" w:name="_Toc341474546"/>
      <w:r>
        <w:br w:type="page"/>
      </w:r>
    </w:p>
    <w:p w14:paraId="190AF861" w14:textId="77777777" w:rsidR="00E37CA1" w:rsidRPr="00FF6E77" w:rsidRDefault="00E37CA1" w:rsidP="00FF6E77">
      <w:pPr>
        <w:pStyle w:val="Nadpis1"/>
      </w:pPr>
      <w:bookmarkStart w:id="18" w:name="_Toc56442124"/>
      <w:r w:rsidRPr="00FF6E77">
        <w:lastRenderedPageBreak/>
        <w:t xml:space="preserve">Příloha č. 9: Seznam </w:t>
      </w:r>
      <w:r w:rsidR="00082BCF" w:rsidRPr="00FF6E77">
        <w:t>pod</w:t>
      </w:r>
      <w:r w:rsidRPr="00FF6E77">
        <w:t>dodavatelů</w:t>
      </w:r>
      <w:bookmarkEnd w:id="17"/>
      <w:bookmarkEnd w:id="18"/>
    </w:p>
    <w:p w14:paraId="54E76EA3" w14:textId="77777777" w:rsidR="00E37CA1" w:rsidRDefault="00E37CA1" w:rsidP="00E44CF9">
      <w:r w:rsidRPr="00E44CF9">
        <w:t xml:space="preserve">Budou uvedeni </w:t>
      </w:r>
      <w:r w:rsidR="00082BCF">
        <w:t>pod</w:t>
      </w:r>
      <w:r w:rsidRPr="00E44CF9">
        <w:t xml:space="preserve">dodavatelé s podílem 10 % a vyšším </w:t>
      </w:r>
      <w:r w:rsidRPr="00B6036B">
        <w:t>na celkové hodnotě zakázky.</w:t>
      </w:r>
    </w:p>
    <w:p w14:paraId="4D8C5568" w14:textId="77777777" w:rsidR="00E93E7D" w:rsidRDefault="00E93E7D" w:rsidP="00E93E7D">
      <w:pPr>
        <w:spacing w:before="0"/>
        <w:jc w:val="left"/>
        <w:rPr>
          <w:b/>
        </w:rPr>
      </w:pPr>
    </w:p>
    <w:p w14:paraId="1BB549BB" w14:textId="77777777" w:rsidR="00E37CA1" w:rsidRPr="00F95B0C" w:rsidRDefault="00F95B0C" w:rsidP="00E93E7D">
      <w:pPr>
        <w:spacing w:before="0"/>
        <w:jc w:val="left"/>
        <w:rPr>
          <w:b/>
        </w:rPr>
      </w:pPr>
      <w:r w:rsidRPr="00F95B0C">
        <w:rPr>
          <w:b/>
        </w:rPr>
        <w:t xml:space="preserve">Pro zpracování této přílohy použijte </w:t>
      </w:r>
      <w:r w:rsidR="00082BCF">
        <w:rPr>
          <w:b/>
        </w:rPr>
        <w:t>vzorový dokument</w:t>
      </w:r>
      <w:r w:rsidR="00082BCF" w:rsidRPr="009A4B51">
        <w:rPr>
          <w:b/>
        </w:rPr>
        <w:t xml:space="preserve"> </w:t>
      </w:r>
      <w:r w:rsidR="00FA48C3">
        <w:rPr>
          <w:b/>
        </w:rPr>
        <w:t>4</w:t>
      </w:r>
      <w:r w:rsidR="00082BCF">
        <w:rPr>
          <w:b/>
        </w:rPr>
        <w:t>f</w:t>
      </w:r>
      <w:r w:rsidRPr="00F95B0C">
        <w:rPr>
          <w:b/>
        </w:rPr>
        <w:t>.</w:t>
      </w:r>
    </w:p>
    <w:p w14:paraId="14DA4156" w14:textId="77777777" w:rsidR="00E37CA1" w:rsidRDefault="00E37CA1" w:rsidP="00E37CA1">
      <w:pPr>
        <w:pStyle w:val="MainText"/>
        <w:tabs>
          <w:tab w:val="left" w:pos="0"/>
        </w:tabs>
      </w:pPr>
    </w:p>
    <w:p w14:paraId="14092EC7" w14:textId="77777777" w:rsidR="00E37CA1" w:rsidRPr="00F64188" w:rsidRDefault="00E37CA1" w:rsidP="00E37CA1">
      <w:pPr>
        <w:pStyle w:val="MainText"/>
        <w:tabs>
          <w:tab w:val="left" w:pos="0"/>
        </w:tabs>
      </w:pPr>
    </w:p>
    <w:p w14:paraId="3F54340D" w14:textId="77777777" w:rsidR="0026206A" w:rsidRPr="0026206A" w:rsidRDefault="0026206A" w:rsidP="0026206A">
      <w:pPr>
        <w:rPr>
          <w:rFonts w:cs="Segoe UI"/>
          <w:sz w:val="24"/>
          <w:szCs w:val="24"/>
        </w:rPr>
      </w:pPr>
    </w:p>
    <w:p w14:paraId="1C5DB390" w14:textId="77777777" w:rsidR="00A6562A" w:rsidRDefault="00A6562A" w:rsidP="004803E5">
      <w:pPr>
        <w:jc w:val="left"/>
      </w:pPr>
    </w:p>
    <w:p w14:paraId="51BE50D0" w14:textId="77777777" w:rsidR="00A6562A" w:rsidRDefault="00A6562A" w:rsidP="00A6562A">
      <w:pPr>
        <w:jc w:val="center"/>
      </w:pPr>
    </w:p>
    <w:p w14:paraId="0D2F0991" w14:textId="77777777" w:rsidR="004803E5" w:rsidRDefault="004803E5" w:rsidP="004803E5">
      <w:pPr>
        <w:jc w:val="left"/>
      </w:pPr>
      <w:r>
        <w:t xml:space="preserve">    </w:t>
      </w:r>
    </w:p>
    <w:p w14:paraId="608EB686" w14:textId="77777777" w:rsidR="004803E5" w:rsidRDefault="004803E5" w:rsidP="004803E5">
      <w:pPr>
        <w:jc w:val="left"/>
      </w:pPr>
      <w:r>
        <w:t xml:space="preserve">     </w:t>
      </w:r>
    </w:p>
    <w:p w14:paraId="5DFD0B05" w14:textId="77777777" w:rsidR="004803E5" w:rsidRDefault="004803E5" w:rsidP="004803E5">
      <w:pPr>
        <w:jc w:val="left"/>
      </w:pPr>
      <w:r>
        <w:t xml:space="preserve">   </w:t>
      </w:r>
    </w:p>
    <w:p w14:paraId="4F9C9E93" w14:textId="77777777" w:rsidR="004803E5" w:rsidRDefault="004803E5" w:rsidP="00CA3913">
      <w:pPr>
        <w:jc w:val="left"/>
      </w:pPr>
      <w:r>
        <w:t xml:space="preserve">                       </w:t>
      </w:r>
    </w:p>
    <w:p w14:paraId="467C4C7C" w14:textId="77777777" w:rsidR="004803E5" w:rsidRDefault="004803E5" w:rsidP="004803E5">
      <w:r>
        <w:t xml:space="preserve">     </w:t>
      </w:r>
    </w:p>
    <w:p w14:paraId="298F1E25" w14:textId="77777777" w:rsidR="004803E5" w:rsidRPr="001A348B" w:rsidRDefault="004803E5" w:rsidP="004803E5">
      <w:r>
        <w:t xml:space="preserve">           </w:t>
      </w:r>
    </w:p>
    <w:p w14:paraId="728436E6" w14:textId="77777777" w:rsidR="004803E5" w:rsidRPr="004803E5" w:rsidRDefault="004803E5" w:rsidP="004803E5"/>
    <w:sectPr w:rsidR="004803E5" w:rsidRPr="004803E5" w:rsidSect="0000061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74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169E5" w14:textId="77777777" w:rsidR="00D634A5" w:rsidRDefault="00D634A5">
      <w:r>
        <w:separator/>
      </w:r>
    </w:p>
  </w:endnote>
  <w:endnote w:type="continuationSeparator" w:id="0">
    <w:p w14:paraId="7FA66045" w14:textId="77777777" w:rsidR="00D634A5" w:rsidRDefault="00D63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09713" w14:textId="77777777" w:rsidR="00632865" w:rsidRDefault="00CF1AB5" w:rsidP="000910F2">
    <w:pPr>
      <w:framePr w:wrap="around" w:vAnchor="text" w:hAnchor="margin" w:xAlign="inside" w:y="1"/>
    </w:pPr>
    <w:r>
      <w:fldChar w:fldCharType="begin"/>
    </w:r>
    <w:r w:rsidR="00632865">
      <w:instrText xml:space="preserve">PAGE  </w:instrText>
    </w:r>
    <w:r>
      <w:fldChar w:fldCharType="end"/>
    </w:r>
  </w:p>
  <w:p w14:paraId="02C0A520" w14:textId="77777777" w:rsidR="00632865" w:rsidRDefault="00632865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1282310"/>
      <w:docPartObj>
        <w:docPartGallery w:val="Page Numbers (Bottom of Page)"/>
        <w:docPartUnique/>
      </w:docPartObj>
    </w:sdtPr>
    <w:sdtEndPr>
      <w:rPr>
        <w:szCs w:val="22"/>
      </w:rPr>
    </w:sdtEndPr>
    <w:sdtContent>
      <w:sdt>
        <w:sdtPr>
          <w:rPr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3C2AF2" w14:textId="1847DD6D" w:rsidR="00632865" w:rsidRPr="00D60BAB" w:rsidRDefault="00246D4E" w:rsidP="00D60BAB">
            <w:pPr>
              <w:pStyle w:val="Zpat"/>
              <w:jc w:val="right"/>
              <w:rPr>
                <w:szCs w:val="22"/>
              </w:rPr>
            </w:pPr>
            <w:r w:rsidRPr="00D60BAB">
              <w:rPr>
                <w:szCs w:val="22"/>
              </w:rPr>
              <w:t xml:space="preserve">Stránka </w:t>
            </w:r>
            <w:r w:rsidRPr="00D60BAB">
              <w:rPr>
                <w:bCs/>
                <w:szCs w:val="22"/>
              </w:rPr>
              <w:fldChar w:fldCharType="begin"/>
            </w:r>
            <w:r w:rsidRPr="00D60BAB">
              <w:rPr>
                <w:bCs/>
                <w:szCs w:val="22"/>
              </w:rPr>
              <w:instrText>PAGE</w:instrText>
            </w:r>
            <w:r w:rsidRPr="00D60BAB">
              <w:rPr>
                <w:bCs/>
                <w:szCs w:val="22"/>
              </w:rPr>
              <w:fldChar w:fldCharType="separate"/>
            </w:r>
            <w:r w:rsidR="001838F4">
              <w:rPr>
                <w:bCs/>
                <w:noProof/>
                <w:szCs w:val="22"/>
              </w:rPr>
              <w:t>1</w:t>
            </w:r>
            <w:r w:rsidRPr="00D60BAB">
              <w:rPr>
                <w:bCs/>
                <w:szCs w:val="22"/>
              </w:rPr>
              <w:fldChar w:fldCharType="end"/>
            </w:r>
            <w:r w:rsidRPr="00D60BAB">
              <w:rPr>
                <w:szCs w:val="22"/>
              </w:rPr>
              <w:t xml:space="preserve"> z </w:t>
            </w:r>
            <w:r w:rsidRPr="00D60BAB">
              <w:rPr>
                <w:bCs/>
                <w:szCs w:val="22"/>
              </w:rPr>
              <w:fldChar w:fldCharType="begin"/>
            </w:r>
            <w:r w:rsidRPr="00D60BAB">
              <w:rPr>
                <w:bCs/>
                <w:szCs w:val="22"/>
              </w:rPr>
              <w:instrText>NUMPAGES</w:instrText>
            </w:r>
            <w:r w:rsidRPr="00D60BAB">
              <w:rPr>
                <w:bCs/>
                <w:szCs w:val="22"/>
              </w:rPr>
              <w:fldChar w:fldCharType="separate"/>
            </w:r>
            <w:r w:rsidR="001838F4">
              <w:rPr>
                <w:bCs/>
                <w:noProof/>
                <w:szCs w:val="22"/>
              </w:rPr>
              <w:t>1</w:t>
            </w:r>
            <w:r w:rsidRPr="00D60BAB">
              <w:rPr>
                <w:bCs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52166"/>
      <w:docPartObj>
        <w:docPartGallery w:val="Page Numbers (Bottom of Page)"/>
        <w:docPartUnique/>
      </w:docPartObj>
    </w:sdtPr>
    <w:sdtEndPr/>
    <w:sdtContent>
      <w:p w14:paraId="654F9E3D" w14:textId="77777777" w:rsidR="00632865" w:rsidRDefault="00D634A5">
        <w:pPr>
          <w:pStyle w:val="Zpat"/>
          <w:jc w:val="center"/>
        </w:pPr>
      </w:p>
    </w:sdtContent>
  </w:sdt>
  <w:p w14:paraId="3A767648" w14:textId="77777777" w:rsidR="00632865" w:rsidRDefault="006328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03DCD" w14:textId="77777777" w:rsidR="00D634A5" w:rsidRDefault="00D634A5">
      <w:r>
        <w:separator/>
      </w:r>
    </w:p>
  </w:footnote>
  <w:footnote w:type="continuationSeparator" w:id="0">
    <w:p w14:paraId="1A7B7B77" w14:textId="77777777" w:rsidR="00D634A5" w:rsidRDefault="00D634A5">
      <w:r>
        <w:continuationSeparator/>
      </w:r>
    </w:p>
  </w:footnote>
  <w:footnote w:id="1">
    <w:p w14:paraId="5624B811" w14:textId="77777777" w:rsidR="00632865" w:rsidRPr="00E44CF9" w:rsidRDefault="00632865" w:rsidP="00E37CA1">
      <w:pPr>
        <w:pStyle w:val="Textpoznpodarou"/>
        <w:ind w:right="1440"/>
        <w:rPr>
          <w:rFonts w:asciiTheme="minorHAnsi" w:hAnsiTheme="minorHAnsi"/>
        </w:rPr>
      </w:pPr>
      <w:r w:rsidRPr="009E216F">
        <w:rPr>
          <w:rStyle w:val="Znakapoznpodarou"/>
        </w:rPr>
        <w:footnoteRef/>
      </w:r>
      <w:r w:rsidRPr="00F0632D">
        <w:rPr>
          <w:lang w:val="es-ES"/>
        </w:rPr>
        <w:t xml:space="preserve"> </w:t>
      </w:r>
      <w:r w:rsidRPr="00E44CF9">
        <w:rPr>
          <w:rFonts w:asciiTheme="minorHAnsi" w:hAnsiTheme="minorHAnsi"/>
          <w:i/>
          <w:iCs/>
          <w:lang w:val="es-ES"/>
        </w:rPr>
        <w:t xml:space="preserve">Úpravy </w:t>
      </w:r>
      <w:r w:rsidRPr="00E44CF9">
        <w:rPr>
          <w:rFonts w:asciiTheme="minorHAnsi" w:hAnsiTheme="minorHAnsi"/>
          <w:lang w:val="es-ES"/>
        </w:rPr>
        <w:t xml:space="preserve"> jsou míněny odpovídající úpravy, popsané v </w:t>
      </w:r>
      <w:r w:rsidR="008219AD">
        <w:rPr>
          <w:rFonts w:asciiTheme="minorHAnsi" w:hAnsiTheme="minorHAnsi"/>
          <w:lang w:val="es-ES"/>
        </w:rPr>
        <w:t>bodě</w:t>
      </w:r>
      <w:r w:rsidRPr="00E44CF9">
        <w:rPr>
          <w:rFonts w:asciiTheme="minorHAnsi" w:hAnsiTheme="minorHAnsi"/>
          <w:lang w:val="es-ES"/>
        </w:rPr>
        <w:t xml:space="preserve"> 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E4CB" w14:textId="16023C81" w:rsidR="00632865" w:rsidRPr="0000061C" w:rsidRDefault="001838F4" w:rsidP="0000061C">
    <w:pPr>
      <w:autoSpaceDE w:val="0"/>
      <w:autoSpaceDN w:val="0"/>
      <w:adjustRightInd w:val="0"/>
      <w:spacing w:before="0" w:after="120"/>
      <w:jc w:val="center"/>
      <w:rPr>
        <w:sz w:val="20"/>
      </w:rPr>
    </w:pPr>
    <w:bookmarkStart w:id="19" w:name="_Hlk55544671"/>
    <w:r w:rsidRPr="004C5D00">
      <w:rPr>
        <w:rFonts w:cs="Verdana"/>
        <w:bCs/>
        <w:iCs/>
        <w:sz w:val="20"/>
      </w:rPr>
      <w:t>Poskytování energetických služeb metodou EPC ve vybraných budovách a soustavě veřejného osvětlení v majetku města Chabařovice</w:t>
    </w:r>
    <w:bookmarkEnd w:id="1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86C3D" w14:textId="77777777" w:rsidR="00632865" w:rsidRDefault="00632865">
    <w:pPr>
      <w:pStyle w:val="Zhlav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959A127" wp14:editId="4E88189A">
          <wp:simplePos x="0" y="0"/>
          <wp:positionH relativeFrom="column">
            <wp:posOffset>3810</wp:posOffset>
          </wp:positionH>
          <wp:positionV relativeFrom="paragraph">
            <wp:posOffset>82550</wp:posOffset>
          </wp:positionV>
          <wp:extent cx="2167890" cy="515620"/>
          <wp:effectExtent l="19050" t="0" r="3810" b="0"/>
          <wp:wrapSquare wrapText="bothSides"/>
          <wp:docPr id="1" name="obrázek 4" descr="porsen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orsen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89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05pt;height:14.05pt" o:bullet="t">
        <v:imagedata r:id="rId1" o:title="mso443"/>
      </v:shape>
    </w:pict>
  </w:numPicBullet>
  <w:abstractNum w:abstractNumId="0" w15:restartNumberingAfterBreak="0">
    <w:nsid w:val="04BC4A15"/>
    <w:multiLevelType w:val="multilevel"/>
    <w:tmpl w:val="12769340"/>
    <w:lvl w:ilvl="0">
      <w:start w:val="1"/>
      <w:numFmt w:val="decimal"/>
      <w:pStyle w:val="Nadpis1"/>
      <w:suff w:val="space"/>
      <w:lvlText w:val="%1. "/>
      <w:lvlJc w:val="left"/>
      <w:pPr>
        <w:ind w:left="284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E03395D"/>
    <w:multiLevelType w:val="multilevel"/>
    <w:tmpl w:val="29609752"/>
    <w:lvl w:ilvl="0">
      <w:start w:val="1"/>
      <w:numFmt w:val="decimal"/>
      <w:pStyle w:val="FigureHeading"/>
      <w:lvlText w:val="Obr. %1:"/>
      <w:lvlJc w:val="left"/>
      <w:pPr>
        <w:tabs>
          <w:tab w:val="num" w:pos="1800"/>
        </w:tabs>
        <w:ind w:left="705" w:hanging="705"/>
      </w:pPr>
      <w:rPr>
        <w:rFonts w:ascii="Verdana" w:hAnsi="Verdana" w:cs="Times New Roman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2" w15:restartNumberingAfterBreak="0">
    <w:nsid w:val="18AF2094"/>
    <w:multiLevelType w:val="hybridMultilevel"/>
    <w:tmpl w:val="07E8C91A"/>
    <w:lvl w:ilvl="0" w:tplc="4282F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4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E2928"/>
    <w:multiLevelType w:val="hybridMultilevel"/>
    <w:tmpl w:val="F2D69C5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2F0C44"/>
    <w:multiLevelType w:val="hybridMultilevel"/>
    <w:tmpl w:val="B31250B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30685CAE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C56F2"/>
    <w:multiLevelType w:val="hybridMultilevel"/>
    <w:tmpl w:val="8F8ED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81760"/>
    <w:multiLevelType w:val="hybridMultilevel"/>
    <w:tmpl w:val="C52848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3607F"/>
    <w:multiLevelType w:val="hybridMultilevel"/>
    <w:tmpl w:val="778A6A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11" w15:restartNumberingAfterBreak="0">
    <w:nsid w:val="52CB69ED"/>
    <w:multiLevelType w:val="hybridMultilevel"/>
    <w:tmpl w:val="F2D69C5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2A5F50"/>
    <w:multiLevelType w:val="hybridMultilevel"/>
    <w:tmpl w:val="2F2E77CC"/>
    <w:lvl w:ilvl="0" w:tplc="73063D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554EF"/>
    <w:multiLevelType w:val="hybridMultilevel"/>
    <w:tmpl w:val="2F2E77CC"/>
    <w:lvl w:ilvl="0" w:tplc="73063D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C2335"/>
    <w:multiLevelType w:val="hybridMultilevel"/>
    <w:tmpl w:val="07E8C91A"/>
    <w:lvl w:ilvl="0" w:tplc="4282F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11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5"/>
  </w:num>
  <w:num w:numId="25">
    <w:abstractNumId w:val="0"/>
  </w:num>
  <w:num w:numId="26">
    <w:abstractNumId w:val="2"/>
  </w:num>
  <w:num w:numId="27">
    <w:abstractNumId w:val="14"/>
  </w:num>
  <w:num w:numId="2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68C"/>
    <w:rsid w:val="0000061C"/>
    <w:rsid w:val="00000700"/>
    <w:rsid w:val="00000729"/>
    <w:rsid w:val="000041EB"/>
    <w:rsid w:val="00010035"/>
    <w:rsid w:val="00010339"/>
    <w:rsid w:val="000107B2"/>
    <w:rsid w:val="00011A8C"/>
    <w:rsid w:val="00013808"/>
    <w:rsid w:val="000168DB"/>
    <w:rsid w:val="000214DC"/>
    <w:rsid w:val="000241BA"/>
    <w:rsid w:val="00030E07"/>
    <w:rsid w:val="00030F53"/>
    <w:rsid w:val="00031758"/>
    <w:rsid w:val="00032FAA"/>
    <w:rsid w:val="00033D0D"/>
    <w:rsid w:val="00034004"/>
    <w:rsid w:val="00034414"/>
    <w:rsid w:val="00036478"/>
    <w:rsid w:val="00036E32"/>
    <w:rsid w:val="00036F9A"/>
    <w:rsid w:val="00041025"/>
    <w:rsid w:val="00042ABF"/>
    <w:rsid w:val="00042CF3"/>
    <w:rsid w:val="00044D87"/>
    <w:rsid w:val="00044FDE"/>
    <w:rsid w:val="00047B06"/>
    <w:rsid w:val="00050744"/>
    <w:rsid w:val="00051024"/>
    <w:rsid w:val="00053AC8"/>
    <w:rsid w:val="00054172"/>
    <w:rsid w:val="000541ED"/>
    <w:rsid w:val="000550AF"/>
    <w:rsid w:val="00055205"/>
    <w:rsid w:val="00055558"/>
    <w:rsid w:val="00055CF5"/>
    <w:rsid w:val="00057AE8"/>
    <w:rsid w:val="00060061"/>
    <w:rsid w:val="000615B5"/>
    <w:rsid w:val="00061720"/>
    <w:rsid w:val="00063CB3"/>
    <w:rsid w:val="000655A2"/>
    <w:rsid w:val="00070063"/>
    <w:rsid w:val="000722BB"/>
    <w:rsid w:val="000736EE"/>
    <w:rsid w:val="00074A0F"/>
    <w:rsid w:val="00075255"/>
    <w:rsid w:val="00076BB7"/>
    <w:rsid w:val="000802EE"/>
    <w:rsid w:val="00081DDD"/>
    <w:rsid w:val="00082BCF"/>
    <w:rsid w:val="000846FA"/>
    <w:rsid w:val="00085CC2"/>
    <w:rsid w:val="000860BD"/>
    <w:rsid w:val="00086FCE"/>
    <w:rsid w:val="00087E1C"/>
    <w:rsid w:val="000910F2"/>
    <w:rsid w:val="0009454D"/>
    <w:rsid w:val="0009495E"/>
    <w:rsid w:val="00096BC0"/>
    <w:rsid w:val="000A2C11"/>
    <w:rsid w:val="000A3B09"/>
    <w:rsid w:val="000A445A"/>
    <w:rsid w:val="000A5EED"/>
    <w:rsid w:val="000A6644"/>
    <w:rsid w:val="000A74C3"/>
    <w:rsid w:val="000B3647"/>
    <w:rsid w:val="000B7DF0"/>
    <w:rsid w:val="000C0682"/>
    <w:rsid w:val="000C08DC"/>
    <w:rsid w:val="000C448B"/>
    <w:rsid w:val="000D0843"/>
    <w:rsid w:val="000D39A2"/>
    <w:rsid w:val="000D5406"/>
    <w:rsid w:val="000D60A0"/>
    <w:rsid w:val="000E0F33"/>
    <w:rsid w:val="000E1776"/>
    <w:rsid w:val="000E3915"/>
    <w:rsid w:val="000E5077"/>
    <w:rsid w:val="000E6782"/>
    <w:rsid w:val="000E6E3E"/>
    <w:rsid w:val="000E7128"/>
    <w:rsid w:val="000E7A5F"/>
    <w:rsid w:val="000F13E6"/>
    <w:rsid w:val="000F17EE"/>
    <w:rsid w:val="000F695D"/>
    <w:rsid w:val="000F6E44"/>
    <w:rsid w:val="000F720B"/>
    <w:rsid w:val="00100F67"/>
    <w:rsid w:val="00101D7C"/>
    <w:rsid w:val="00101EE4"/>
    <w:rsid w:val="001050B3"/>
    <w:rsid w:val="00105A13"/>
    <w:rsid w:val="00113C11"/>
    <w:rsid w:val="00117B9F"/>
    <w:rsid w:val="00120A70"/>
    <w:rsid w:val="00121A46"/>
    <w:rsid w:val="00122A9E"/>
    <w:rsid w:val="00124B1D"/>
    <w:rsid w:val="00125A87"/>
    <w:rsid w:val="00127126"/>
    <w:rsid w:val="00130676"/>
    <w:rsid w:val="00133396"/>
    <w:rsid w:val="00135B84"/>
    <w:rsid w:val="00135EF6"/>
    <w:rsid w:val="00141A2F"/>
    <w:rsid w:val="0014291E"/>
    <w:rsid w:val="00145C2E"/>
    <w:rsid w:val="00146D3A"/>
    <w:rsid w:val="00150B8D"/>
    <w:rsid w:val="00151379"/>
    <w:rsid w:val="001515DD"/>
    <w:rsid w:val="001525D5"/>
    <w:rsid w:val="00152E7A"/>
    <w:rsid w:val="001576CD"/>
    <w:rsid w:val="00157BB6"/>
    <w:rsid w:val="0016223D"/>
    <w:rsid w:val="001625C2"/>
    <w:rsid w:val="001666A7"/>
    <w:rsid w:val="00166ABE"/>
    <w:rsid w:val="00166DFF"/>
    <w:rsid w:val="001701C3"/>
    <w:rsid w:val="001708C5"/>
    <w:rsid w:val="0017244B"/>
    <w:rsid w:val="00172455"/>
    <w:rsid w:val="001724F2"/>
    <w:rsid w:val="001733C6"/>
    <w:rsid w:val="00173A26"/>
    <w:rsid w:val="00176EA9"/>
    <w:rsid w:val="0018312C"/>
    <w:rsid w:val="001838F4"/>
    <w:rsid w:val="00183CE0"/>
    <w:rsid w:val="00185F7A"/>
    <w:rsid w:val="001870E7"/>
    <w:rsid w:val="00187EFF"/>
    <w:rsid w:val="001911DB"/>
    <w:rsid w:val="00191CE4"/>
    <w:rsid w:val="00194B49"/>
    <w:rsid w:val="00196E62"/>
    <w:rsid w:val="00197076"/>
    <w:rsid w:val="001A0684"/>
    <w:rsid w:val="001A3CA1"/>
    <w:rsid w:val="001A5135"/>
    <w:rsid w:val="001A55A2"/>
    <w:rsid w:val="001A733C"/>
    <w:rsid w:val="001A7C41"/>
    <w:rsid w:val="001B1264"/>
    <w:rsid w:val="001B12CE"/>
    <w:rsid w:val="001B4DEA"/>
    <w:rsid w:val="001C2082"/>
    <w:rsid w:val="001C45CE"/>
    <w:rsid w:val="001C5569"/>
    <w:rsid w:val="001C768C"/>
    <w:rsid w:val="001D05CE"/>
    <w:rsid w:val="001D4CDE"/>
    <w:rsid w:val="001D6713"/>
    <w:rsid w:val="001D6D76"/>
    <w:rsid w:val="001D7A23"/>
    <w:rsid w:val="001E05D4"/>
    <w:rsid w:val="001E07AB"/>
    <w:rsid w:val="001E1245"/>
    <w:rsid w:val="001E2EAB"/>
    <w:rsid w:val="001E4C3A"/>
    <w:rsid w:val="001E6259"/>
    <w:rsid w:val="001E7B3D"/>
    <w:rsid w:val="001F69D9"/>
    <w:rsid w:val="00201BAF"/>
    <w:rsid w:val="00201E55"/>
    <w:rsid w:val="00204750"/>
    <w:rsid w:val="0020512B"/>
    <w:rsid w:val="002078FF"/>
    <w:rsid w:val="00207924"/>
    <w:rsid w:val="00207BD7"/>
    <w:rsid w:val="00211A4D"/>
    <w:rsid w:val="00212FC2"/>
    <w:rsid w:val="00215581"/>
    <w:rsid w:val="00215A88"/>
    <w:rsid w:val="002165EA"/>
    <w:rsid w:val="00217E75"/>
    <w:rsid w:val="002200C6"/>
    <w:rsid w:val="00221A2F"/>
    <w:rsid w:val="00222B2A"/>
    <w:rsid w:val="0022302D"/>
    <w:rsid w:val="0022401D"/>
    <w:rsid w:val="00224E1F"/>
    <w:rsid w:val="00226402"/>
    <w:rsid w:val="00231692"/>
    <w:rsid w:val="00231BAD"/>
    <w:rsid w:val="00232B89"/>
    <w:rsid w:val="00233986"/>
    <w:rsid w:val="00235494"/>
    <w:rsid w:val="00237AFD"/>
    <w:rsid w:val="0024042C"/>
    <w:rsid w:val="00241DCE"/>
    <w:rsid w:val="00242416"/>
    <w:rsid w:val="00246D4E"/>
    <w:rsid w:val="00250299"/>
    <w:rsid w:val="002508DC"/>
    <w:rsid w:val="002510F6"/>
    <w:rsid w:val="0025158A"/>
    <w:rsid w:val="0025168C"/>
    <w:rsid w:val="002518F7"/>
    <w:rsid w:val="002521B5"/>
    <w:rsid w:val="002526C4"/>
    <w:rsid w:val="0025587B"/>
    <w:rsid w:val="00255C05"/>
    <w:rsid w:val="00255FFB"/>
    <w:rsid w:val="00257706"/>
    <w:rsid w:val="0026206A"/>
    <w:rsid w:val="00265DA6"/>
    <w:rsid w:val="00267FAB"/>
    <w:rsid w:val="002706F1"/>
    <w:rsid w:val="00270E1A"/>
    <w:rsid w:val="00272107"/>
    <w:rsid w:val="0027319A"/>
    <w:rsid w:val="00273BF0"/>
    <w:rsid w:val="002752AE"/>
    <w:rsid w:val="002803CD"/>
    <w:rsid w:val="00280BC3"/>
    <w:rsid w:val="002818F9"/>
    <w:rsid w:val="00284836"/>
    <w:rsid w:val="00291F25"/>
    <w:rsid w:val="00294505"/>
    <w:rsid w:val="00295DCF"/>
    <w:rsid w:val="002A30EE"/>
    <w:rsid w:val="002A3582"/>
    <w:rsid w:val="002A49A5"/>
    <w:rsid w:val="002A50CD"/>
    <w:rsid w:val="002A5522"/>
    <w:rsid w:val="002B66A4"/>
    <w:rsid w:val="002B707C"/>
    <w:rsid w:val="002C08F1"/>
    <w:rsid w:val="002C3844"/>
    <w:rsid w:val="002C3EC2"/>
    <w:rsid w:val="002C4B83"/>
    <w:rsid w:val="002C6F84"/>
    <w:rsid w:val="002C7539"/>
    <w:rsid w:val="002D021C"/>
    <w:rsid w:val="002D3C43"/>
    <w:rsid w:val="002D49DC"/>
    <w:rsid w:val="002D4ADD"/>
    <w:rsid w:val="002D6A19"/>
    <w:rsid w:val="002E16D3"/>
    <w:rsid w:val="002E17E4"/>
    <w:rsid w:val="002E44D1"/>
    <w:rsid w:val="002E5BEE"/>
    <w:rsid w:val="002F299D"/>
    <w:rsid w:val="002F3BA1"/>
    <w:rsid w:val="002F6DB9"/>
    <w:rsid w:val="002F7EEE"/>
    <w:rsid w:val="00302874"/>
    <w:rsid w:val="00303485"/>
    <w:rsid w:val="00303953"/>
    <w:rsid w:val="00304139"/>
    <w:rsid w:val="00307F63"/>
    <w:rsid w:val="00310148"/>
    <w:rsid w:val="00310972"/>
    <w:rsid w:val="00317988"/>
    <w:rsid w:val="00320318"/>
    <w:rsid w:val="00320B87"/>
    <w:rsid w:val="0032568F"/>
    <w:rsid w:val="00325A0A"/>
    <w:rsid w:val="00326CE8"/>
    <w:rsid w:val="0033080E"/>
    <w:rsid w:val="00332D39"/>
    <w:rsid w:val="00332E83"/>
    <w:rsid w:val="003330A3"/>
    <w:rsid w:val="00336ACF"/>
    <w:rsid w:val="00336D0E"/>
    <w:rsid w:val="00336F80"/>
    <w:rsid w:val="0033725B"/>
    <w:rsid w:val="00340949"/>
    <w:rsid w:val="00340C6A"/>
    <w:rsid w:val="003436A3"/>
    <w:rsid w:val="00343B4C"/>
    <w:rsid w:val="003447F2"/>
    <w:rsid w:val="00344992"/>
    <w:rsid w:val="00345A40"/>
    <w:rsid w:val="00345C49"/>
    <w:rsid w:val="00346F10"/>
    <w:rsid w:val="00346F8D"/>
    <w:rsid w:val="00352633"/>
    <w:rsid w:val="00357BED"/>
    <w:rsid w:val="0036014C"/>
    <w:rsid w:val="0036088E"/>
    <w:rsid w:val="00361792"/>
    <w:rsid w:val="0036587A"/>
    <w:rsid w:val="00371C14"/>
    <w:rsid w:val="00376469"/>
    <w:rsid w:val="003800FC"/>
    <w:rsid w:val="00381293"/>
    <w:rsid w:val="003812E1"/>
    <w:rsid w:val="00381CF7"/>
    <w:rsid w:val="00385068"/>
    <w:rsid w:val="00385434"/>
    <w:rsid w:val="00385E92"/>
    <w:rsid w:val="00392D22"/>
    <w:rsid w:val="003951E2"/>
    <w:rsid w:val="00397E06"/>
    <w:rsid w:val="003A0B2F"/>
    <w:rsid w:val="003A43DD"/>
    <w:rsid w:val="003A4900"/>
    <w:rsid w:val="003A7824"/>
    <w:rsid w:val="003B0C7E"/>
    <w:rsid w:val="003B1D92"/>
    <w:rsid w:val="003B3932"/>
    <w:rsid w:val="003B40F2"/>
    <w:rsid w:val="003B485F"/>
    <w:rsid w:val="003C170D"/>
    <w:rsid w:val="003D0703"/>
    <w:rsid w:val="003D1C4C"/>
    <w:rsid w:val="003D3EA4"/>
    <w:rsid w:val="003D6784"/>
    <w:rsid w:val="003D7593"/>
    <w:rsid w:val="003E05BF"/>
    <w:rsid w:val="003E2ABB"/>
    <w:rsid w:val="003E2DD3"/>
    <w:rsid w:val="003E4B7A"/>
    <w:rsid w:val="003E6655"/>
    <w:rsid w:val="003E7637"/>
    <w:rsid w:val="003F019B"/>
    <w:rsid w:val="003F3A3E"/>
    <w:rsid w:val="003F4743"/>
    <w:rsid w:val="003F65F5"/>
    <w:rsid w:val="00400236"/>
    <w:rsid w:val="00400E36"/>
    <w:rsid w:val="00400EF8"/>
    <w:rsid w:val="004021DC"/>
    <w:rsid w:val="004025FD"/>
    <w:rsid w:val="0040451C"/>
    <w:rsid w:val="00405C52"/>
    <w:rsid w:val="00415577"/>
    <w:rsid w:val="0041584B"/>
    <w:rsid w:val="00420336"/>
    <w:rsid w:val="00421265"/>
    <w:rsid w:val="00422813"/>
    <w:rsid w:val="00423C18"/>
    <w:rsid w:val="0042510B"/>
    <w:rsid w:val="004279C9"/>
    <w:rsid w:val="00431476"/>
    <w:rsid w:val="00435445"/>
    <w:rsid w:val="0043780E"/>
    <w:rsid w:val="00446626"/>
    <w:rsid w:val="004548FC"/>
    <w:rsid w:val="004549DF"/>
    <w:rsid w:val="00456D97"/>
    <w:rsid w:val="0045746A"/>
    <w:rsid w:val="00460C3D"/>
    <w:rsid w:val="00463021"/>
    <w:rsid w:val="00463674"/>
    <w:rsid w:val="004640D6"/>
    <w:rsid w:val="00464858"/>
    <w:rsid w:val="00465447"/>
    <w:rsid w:val="00465868"/>
    <w:rsid w:val="00466683"/>
    <w:rsid w:val="004679AF"/>
    <w:rsid w:val="00470E38"/>
    <w:rsid w:val="004717DD"/>
    <w:rsid w:val="00474372"/>
    <w:rsid w:val="00474434"/>
    <w:rsid w:val="004803E5"/>
    <w:rsid w:val="00481133"/>
    <w:rsid w:val="00481891"/>
    <w:rsid w:val="00483B3A"/>
    <w:rsid w:val="00483D13"/>
    <w:rsid w:val="004842D5"/>
    <w:rsid w:val="00484D56"/>
    <w:rsid w:val="00487A1B"/>
    <w:rsid w:val="0049009A"/>
    <w:rsid w:val="004938FD"/>
    <w:rsid w:val="004A0AC8"/>
    <w:rsid w:val="004A0EF1"/>
    <w:rsid w:val="004A106D"/>
    <w:rsid w:val="004A456F"/>
    <w:rsid w:val="004A5B48"/>
    <w:rsid w:val="004B0799"/>
    <w:rsid w:val="004B0898"/>
    <w:rsid w:val="004B1005"/>
    <w:rsid w:val="004B1115"/>
    <w:rsid w:val="004B3A86"/>
    <w:rsid w:val="004B494A"/>
    <w:rsid w:val="004B6060"/>
    <w:rsid w:val="004B634C"/>
    <w:rsid w:val="004C204B"/>
    <w:rsid w:val="004C39F8"/>
    <w:rsid w:val="004C3ED2"/>
    <w:rsid w:val="004D0742"/>
    <w:rsid w:val="004D1E66"/>
    <w:rsid w:val="004D207A"/>
    <w:rsid w:val="004D57C0"/>
    <w:rsid w:val="004E1487"/>
    <w:rsid w:val="004E19B1"/>
    <w:rsid w:val="004E1A16"/>
    <w:rsid w:val="004E1DD6"/>
    <w:rsid w:val="004E37B1"/>
    <w:rsid w:val="004E7B31"/>
    <w:rsid w:val="004F10EE"/>
    <w:rsid w:val="004F1F2E"/>
    <w:rsid w:val="004F7188"/>
    <w:rsid w:val="005020D1"/>
    <w:rsid w:val="00502BE6"/>
    <w:rsid w:val="00503513"/>
    <w:rsid w:val="00503701"/>
    <w:rsid w:val="005074BB"/>
    <w:rsid w:val="00514AAA"/>
    <w:rsid w:val="00514E36"/>
    <w:rsid w:val="00515681"/>
    <w:rsid w:val="00516A48"/>
    <w:rsid w:val="00516A68"/>
    <w:rsid w:val="00520D54"/>
    <w:rsid w:val="00522B6A"/>
    <w:rsid w:val="005249E1"/>
    <w:rsid w:val="005257E2"/>
    <w:rsid w:val="005302D4"/>
    <w:rsid w:val="005307F7"/>
    <w:rsid w:val="00530880"/>
    <w:rsid w:val="0053346E"/>
    <w:rsid w:val="00533E38"/>
    <w:rsid w:val="00534059"/>
    <w:rsid w:val="00534AA0"/>
    <w:rsid w:val="00536120"/>
    <w:rsid w:val="005365BF"/>
    <w:rsid w:val="00541B87"/>
    <w:rsid w:val="00543975"/>
    <w:rsid w:val="00544459"/>
    <w:rsid w:val="005474F8"/>
    <w:rsid w:val="00550BBB"/>
    <w:rsid w:val="00551079"/>
    <w:rsid w:val="00552E29"/>
    <w:rsid w:val="005564F8"/>
    <w:rsid w:val="005570EE"/>
    <w:rsid w:val="00562763"/>
    <w:rsid w:val="00564EE3"/>
    <w:rsid w:val="00565AC0"/>
    <w:rsid w:val="00565CBB"/>
    <w:rsid w:val="00567910"/>
    <w:rsid w:val="005713E6"/>
    <w:rsid w:val="005715E1"/>
    <w:rsid w:val="005715E3"/>
    <w:rsid w:val="00573567"/>
    <w:rsid w:val="00576126"/>
    <w:rsid w:val="005771AB"/>
    <w:rsid w:val="00581EBF"/>
    <w:rsid w:val="00582470"/>
    <w:rsid w:val="00584390"/>
    <w:rsid w:val="0058550E"/>
    <w:rsid w:val="00586A53"/>
    <w:rsid w:val="00592B9B"/>
    <w:rsid w:val="00593A7F"/>
    <w:rsid w:val="0059632C"/>
    <w:rsid w:val="00596B99"/>
    <w:rsid w:val="005A004B"/>
    <w:rsid w:val="005A0850"/>
    <w:rsid w:val="005A380B"/>
    <w:rsid w:val="005A6EDD"/>
    <w:rsid w:val="005B2225"/>
    <w:rsid w:val="005B225F"/>
    <w:rsid w:val="005B304D"/>
    <w:rsid w:val="005B30DA"/>
    <w:rsid w:val="005B5CA4"/>
    <w:rsid w:val="005B61A7"/>
    <w:rsid w:val="005B73D3"/>
    <w:rsid w:val="005B7C3B"/>
    <w:rsid w:val="005C2FB5"/>
    <w:rsid w:val="005C349E"/>
    <w:rsid w:val="005C590B"/>
    <w:rsid w:val="005C5E77"/>
    <w:rsid w:val="005C6AF2"/>
    <w:rsid w:val="005C7EFD"/>
    <w:rsid w:val="005D03ED"/>
    <w:rsid w:val="005D3B5B"/>
    <w:rsid w:val="005D47D8"/>
    <w:rsid w:val="005E0FF0"/>
    <w:rsid w:val="005E1490"/>
    <w:rsid w:val="005E4D75"/>
    <w:rsid w:val="005E5578"/>
    <w:rsid w:val="005E55C5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E84"/>
    <w:rsid w:val="00613FF3"/>
    <w:rsid w:val="0061495A"/>
    <w:rsid w:val="006163AE"/>
    <w:rsid w:val="00621C55"/>
    <w:rsid w:val="006231F6"/>
    <w:rsid w:val="00624BFD"/>
    <w:rsid w:val="00625E8A"/>
    <w:rsid w:val="00626D58"/>
    <w:rsid w:val="00630C75"/>
    <w:rsid w:val="00632865"/>
    <w:rsid w:val="0063546E"/>
    <w:rsid w:val="006377C6"/>
    <w:rsid w:val="00640B62"/>
    <w:rsid w:val="00643117"/>
    <w:rsid w:val="006462F9"/>
    <w:rsid w:val="00647C10"/>
    <w:rsid w:val="00650947"/>
    <w:rsid w:val="00651231"/>
    <w:rsid w:val="0065190E"/>
    <w:rsid w:val="006536D3"/>
    <w:rsid w:val="00654E1A"/>
    <w:rsid w:val="0065525C"/>
    <w:rsid w:val="00656BD0"/>
    <w:rsid w:val="006604C9"/>
    <w:rsid w:val="00661DF1"/>
    <w:rsid w:val="00661E69"/>
    <w:rsid w:val="006625C6"/>
    <w:rsid w:val="00662951"/>
    <w:rsid w:val="00662D39"/>
    <w:rsid w:val="0066376E"/>
    <w:rsid w:val="006668D0"/>
    <w:rsid w:val="006733E9"/>
    <w:rsid w:val="006803B5"/>
    <w:rsid w:val="00680C62"/>
    <w:rsid w:val="0068114C"/>
    <w:rsid w:val="006816C4"/>
    <w:rsid w:val="00681C65"/>
    <w:rsid w:val="00684B5F"/>
    <w:rsid w:val="006850DB"/>
    <w:rsid w:val="006856DB"/>
    <w:rsid w:val="00687387"/>
    <w:rsid w:val="00687E6F"/>
    <w:rsid w:val="00690531"/>
    <w:rsid w:val="006934A6"/>
    <w:rsid w:val="00693AD5"/>
    <w:rsid w:val="0069755B"/>
    <w:rsid w:val="0069765E"/>
    <w:rsid w:val="006A50F7"/>
    <w:rsid w:val="006A5287"/>
    <w:rsid w:val="006A5F86"/>
    <w:rsid w:val="006A6951"/>
    <w:rsid w:val="006A6D99"/>
    <w:rsid w:val="006A783E"/>
    <w:rsid w:val="006B2C17"/>
    <w:rsid w:val="006B2F04"/>
    <w:rsid w:val="006B3100"/>
    <w:rsid w:val="006B3B41"/>
    <w:rsid w:val="006C1848"/>
    <w:rsid w:val="006C32FA"/>
    <w:rsid w:val="006C3705"/>
    <w:rsid w:val="006C4684"/>
    <w:rsid w:val="006C63F8"/>
    <w:rsid w:val="006D02AE"/>
    <w:rsid w:val="006D46ED"/>
    <w:rsid w:val="006D4B36"/>
    <w:rsid w:val="006D4B99"/>
    <w:rsid w:val="006D71A0"/>
    <w:rsid w:val="006D7C40"/>
    <w:rsid w:val="006E2706"/>
    <w:rsid w:val="006E2751"/>
    <w:rsid w:val="006E45DE"/>
    <w:rsid w:val="006E6018"/>
    <w:rsid w:val="006E648E"/>
    <w:rsid w:val="006E6810"/>
    <w:rsid w:val="006F0A8A"/>
    <w:rsid w:val="006F0FE3"/>
    <w:rsid w:val="006F1B18"/>
    <w:rsid w:val="006F1B9E"/>
    <w:rsid w:val="006F5537"/>
    <w:rsid w:val="006F57A0"/>
    <w:rsid w:val="00700FF4"/>
    <w:rsid w:val="00702604"/>
    <w:rsid w:val="00705738"/>
    <w:rsid w:val="00706112"/>
    <w:rsid w:val="007077C9"/>
    <w:rsid w:val="00707A69"/>
    <w:rsid w:val="00707DC6"/>
    <w:rsid w:val="007112D4"/>
    <w:rsid w:val="0071220F"/>
    <w:rsid w:val="007140FF"/>
    <w:rsid w:val="0071725C"/>
    <w:rsid w:val="007176FF"/>
    <w:rsid w:val="007203D2"/>
    <w:rsid w:val="00722386"/>
    <w:rsid w:val="00722CDA"/>
    <w:rsid w:val="00722EA3"/>
    <w:rsid w:val="00723BEC"/>
    <w:rsid w:val="00723F15"/>
    <w:rsid w:val="00724D54"/>
    <w:rsid w:val="007266DD"/>
    <w:rsid w:val="0072684F"/>
    <w:rsid w:val="0072717A"/>
    <w:rsid w:val="00727238"/>
    <w:rsid w:val="00727EC2"/>
    <w:rsid w:val="00733B04"/>
    <w:rsid w:val="007366C9"/>
    <w:rsid w:val="007371C4"/>
    <w:rsid w:val="00737A76"/>
    <w:rsid w:val="00737AD2"/>
    <w:rsid w:val="007402EE"/>
    <w:rsid w:val="00740977"/>
    <w:rsid w:val="007417DB"/>
    <w:rsid w:val="00743544"/>
    <w:rsid w:val="00744608"/>
    <w:rsid w:val="00744644"/>
    <w:rsid w:val="00744E56"/>
    <w:rsid w:val="00745993"/>
    <w:rsid w:val="00745B84"/>
    <w:rsid w:val="007503E0"/>
    <w:rsid w:val="00751405"/>
    <w:rsid w:val="00752BE1"/>
    <w:rsid w:val="00757BFB"/>
    <w:rsid w:val="00762D86"/>
    <w:rsid w:val="00763481"/>
    <w:rsid w:val="00764220"/>
    <w:rsid w:val="0076531F"/>
    <w:rsid w:val="00765AA7"/>
    <w:rsid w:val="007667DE"/>
    <w:rsid w:val="00772C7B"/>
    <w:rsid w:val="007733B4"/>
    <w:rsid w:val="007743E6"/>
    <w:rsid w:val="00775041"/>
    <w:rsid w:val="007750B0"/>
    <w:rsid w:val="007772F8"/>
    <w:rsid w:val="00777931"/>
    <w:rsid w:val="00781D4F"/>
    <w:rsid w:val="007828B7"/>
    <w:rsid w:val="00783CA8"/>
    <w:rsid w:val="00790657"/>
    <w:rsid w:val="007A08E7"/>
    <w:rsid w:val="007A1550"/>
    <w:rsid w:val="007A2064"/>
    <w:rsid w:val="007A32B8"/>
    <w:rsid w:val="007A475A"/>
    <w:rsid w:val="007A5E74"/>
    <w:rsid w:val="007A62AD"/>
    <w:rsid w:val="007B0456"/>
    <w:rsid w:val="007B0575"/>
    <w:rsid w:val="007B1D4C"/>
    <w:rsid w:val="007B33EA"/>
    <w:rsid w:val="007B5FB7"/>
    <w:rsid w:val="007B6C86"/>
    <w:rsid w:val="007B7CA7"/>
    <w:rsid w:val="007C0EAA"/>
    <w:rsid w:val="007C3037"/>
    <w:rsid w:val="007C36F9"/>
    <w:rsid w:val="007C758D"/>
    <w:rsid w:val="007D4B1B"/>
    <w:rsid w:val="007D4CC9"/>
    <w:rsid w:val="007E1B2C"/>
    <w:rsid w:val="007E4011"/>
    <w:rsid w:val="007F295E"/>
    <w:rsid w:val="007F44D6"/>
    <w:rsid w:val="007F517A"/>
    <w:rsid w:val="007F61AD"/>
    <w:rsid w:val="00800D73"/>
    <w:rsid w:val="0080179C"/>
    <w:rsid w:val="0081073E"/>
    <w:rsid w:val="00810AD7"/>
    <w:rsid w:val="00811C9B"/>
    <w:rsid w:val="0081237E"/>
    <w:rsid w:val="00812580"/>
    <w:rsid w:val="00814B39"/>
    <w:rsid w:val="00816E02"/>
    <w:rsid w:val="008219AD"/>
    <w:rsid w:val="00821F57"/>
    <w:rsid w:val="0082214D"/>
    <w:rsid w:val="0082235B"/>
    <w:rsid w:val="0082277C"/>
    <w:rsid w:val="008272F4"/>
    <w:rsid w:val="008316D9"/>
    <w:rsid w:val="00834993"/>
    <w:rsid w:val="0083534C"/>
    <w:rsid w:val="00835B5A"/>
    <w:rsid w:val="00835C84"/>
    <w:rsid w:val="00836306"/>
    <w:rsid w:val="00836AC1"/>
    <w:rsid w:val="00836E0E"/>
    <w:rsid w:val="00840183"/>
    <w:rsid w:val="00840444"/>
    <w:rsid w:val="0084156B"/>
    <w:rsid w:val="008419CB"/>
    <w:rsid w:val="00841E8C"/>
    <w:rsid w:val="00842C61"/>
    <w:rsid w:val="00842EAD"/>
    <w:rsid w:val="00846388"/>
    <w:rsid w:val="00853A86"/>
    <w:rsid w:val="00860351"/>
    <w:rsid w:val="00864723"/>
    <w:rsid w:val="00865178"/>
    <w:rsid w:val="0086780E"/>
    <w:rsid w:val="008725D3"/>
    <w:rsid w:val="00874CEE"/>
    <w:rsid w:val="00874E40"/>
    <w:rsid w:val="00876EA7"/>
    <w:rsid w:val="008826CD"/>
    <w:rsid w:val="0088416C"/>
    <w:rsid w:val="00884733"/>
    <w:rsid w:val="0088538E"/>
    <w:rsid w:val="008857BB"/>
    <w:rsid w:val="00887A68"/>
    <w:rsid w:val="00887FF5"/>
    <w:rsid w:val="008925E7"/>
    <w:rsid w:val="008945E6"/>
    <w:rsid w:val="00895743"/>
    <w:rsid w:val="008972E9"/>
    <w:rsid w:val="00897BB5"/>
    <w:rsid w:val="008A002D"/>
    <w:rsid w:val="008A08D2"/>
    <w:rsid w:val="008A1A41"/>
    <w:rsid w:val="008A289D"/>
    <w:rsid w:val="008A56E3"/>
    <w:rsid w:val="008B0A46"/>
    <w:rsid w:val="008C02DB"/>
    <w:rsid w:val="008C125F"/>
    <w:rsid w:val="008C2E28"/>
    <w:rsid w:val="008C3C31"/>
    <w:rsid w:val="008C6DA9"/>
    <w:rsid w:val="008D02BE"/>
    <w:rsid w:val="008D224B"/>
    <w:rsid w:val="008D3D81"/>
    <w:rsid w:val="008D4902"/>
    <w:rsid w:val="008D563C"/>
    <w:rsid w:val="008D5995"/>
    <w:rsid w:val="008D7F6A"/>
    <w:rsid w:val="008E12E0"/>
    <w:rsid w:val="008E1B87"/>
    <w:rsid w:val="008E3CBA"/>
    <w:rsid w:val="008E5E33"/>
    <w:rsid w:val="008F6BB8"/>
    <w:rsid w:val="009006CB"/>
    <w:rsid w:val="00901A21"/>
    <w:rsid w:val="00903BC5"/>
    <w:rsid w:val="0090479C"/>
    <w:rsid w:val="00905036"/>
    <w:rsid w:val="00910938"/>
    <w:rsid w:val="00911148"/>
    <w:rsid w:val="00913304"/>
    <w:rsid w:val="00914900"/>
    <w:rsid w:val="00916E7F"/>
    <w:rsid w:val="0092168F"/>
    <w:rsid w:val="00923F23"/>
    <w:rsid w:val="009251C9"/>
    <w:rsid w:val="00926DD4"/>
    <w:rsid w:val="0093094E"/>
    <w:rsid w:val="00932B2A"/>
    <w:rsid w:val="00932EFB"/>
    <w:rsid w:val="00933535"/>
    <w:rsid w:val="00934D19"/>
    <w:rsid w:val="00936546"/>
    <w:rsid w:val="00937DAB"/>
    <w:rsid w:val="00941046"/>
    <w:rsid w:val="009421A9"/>
    <w:rsid w:val="0094231E"/>
    <w:rsid w:val="009428D9"/>
    <w:rsid w:val="00942D82"/>
    <w:rsid w:val="00944E66"/>
    <w:rsid w:val="00944E91"/>
    <w:rsid w:val="00945519"/>
    <w:rsid w:val="00945901"/>
    <w:rsid w:val="00947093"/>
    <w:rsid w:val="009478F8"/>
    <w:rsid w:val="00951F20"/>
    <w:rsid w:val="009575A9"/>
    <w:rsid w:val="009619FE"/>
    <w:rsid w:val="00961B93"/>
    <w:rsid w:val="00964DA5"/>
    <w:rsid w:val="00965FBB"/>
    <w:rsid w:val="0096713E"/>
    <w:rsid w:val="00967439"/>
    <w:rsid w:val="00970B33"/>
    <w:rsid w:val="00971AC5"/>
    <w:rsid w:val="00973AA0"/>
    <w:rsid w:val="00973CAE"/>
    <w:rsid w:val="0097439E"/>
    <w:rsid w:val="00974D86"/>
    <w:rsid w:val="0097552D"/>
    <w:rsid w:val="0097797C"/>
    <w:rsid w:val="009829A1"/>
    <w:rsid w:val="0098614D"/>
    <w:rsid w:val="00986AB8"/>
    <w:rsid w:val="00992F6A"/>
    <w:rsid w:val="00995873"/>
    <w:rsid w:val="00997225"/>
    <w:rsid w:val="009A0445"/>
    <w:rsid w:val="009A0E3F"/>
    <w:rsid w:val="009A2167"/>
    <w:rsid w:val="009A2E21"/>
    <w:rsid w:val="009A2EEB"/>
    <w:rsid w:val="009A3191"/>
    <w:rsid w:val="009A412C"/>
    <w:rsid w:val="009A4B51"/>
    <w:rsid w:val="009A7AD5"/>
    <w:rsid w:val="009B27AE"/>
    <w:rsid w:val="009B30D4"/>
    <w:rsid w:val="009B5C55"/>
    <w:rsid w:val="009B64ED"/>
    <w:rsid w:val="009B7CA6"/>
    <w:rsid w:val="009C08D9"/>
    <w:rsid w:val="009C48A5"/>
    <w:rsid w:val="009C492E"/>
    <w:rsid w:val="009C65D4"/>
    <w:rsid w:val="009C688A"/>
    <w:rsid w:val="009C744F"/>
    <w:rsid w:val="009D67B3"/>
    <w:rsid w:val="009D6A7F"/>
    <w:rsid w:val="009D7ADE"/>
    <w:rsid w:val="009D7C0E"/>
    <w:rsid w:val="009E3AB5"/>
    <w:rsid w:val="009E69B4"/>
    <w:rsid w:val="009E7C17"/>
    <w:rsid w:val="009F150E"/>
    <w:rsid w:val="009F1768"/>
    <w:rsid w:val="009F30D7"/>
    <w:rsid w:val="009F5E3D"/>
    <w:rsid w:val="00A004A3"/>
    <w:rsid w:val="00A0113C"/>
    <w:rsid w:val="00A014D7"/>
    <w:rsid w:val="00A02AB5"/>
    <w:rsid w:val="00A036A0"/>
    <w:rsid w:val="00A04CB1"/>
    <w:rsid w:val="00A0611F"/>
    <w:rsid w:val="00A07226"/>
    <w:rsid w:val="00A12CB6"/>
    <w:rsid w:val="00A1475C"/>
    <w:rsid w:val="00A155CC"/>
    <w:rsid w:val="00A16826"/>
    <w:rsid w:val="00A21F59"/>
    <w:rsid w:val="00A23D14"/>
    <w:rsid w:val="00A261A9"/>
    <w:rsid w:val="00A26DA3"/>
    <w:rsid w:val="00A31804"/>
    <w:rsid w:val="00A33F31"/>
    <w:rsid w:val="00A358FC"/>
    <w:rsid w:val="00A35C79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5485"/>
    <w:rsid w:val="00A56E63"/>
    <w:rsid w:val="00A61009"/>
    <w:rsid w:val="00A61C8F"/>
    <w:rsid w:val="00A61D14"/>
    <w:rsid w:val="00A61DF4"/>
    <w:rsid w:val="00A621BC"/>
    <w:rsid w:val="00A6227F"/>
    <w:rsid w:val="00A62367"/>
    <w:rsid w:val="00A62FE9"/>
    <w:rsid w:val="00A64536"/>
    <w:rsid w:val="00A6562A"/>
    <w:rsid w:val="00A70A35"/>
    <w:rsid w:val="00A74944"/>
    <w:rsid w:val="00A74B80"/>
    <w:rsid w:val="00A77287"/>
    <w:rsid w:val="00A81CDA"/>
    <w:rsid w:val="00A82733"/>
    <w:rsid w:val="00A828D4"/>
    <w:rsid w:val="00A8302C"/>
    <w:rsid w:val="00A8502A"/>
    <w:rsid w:val="00A85953"/>
    <w:rsid w:val="00A864A7"/>
    <w:rsid w:val="00A91F44"/>
    <w:rsid w:val="00A92C44"/>
    <w:rsid w:val="00A92E27"/>
    <w:rsid w:val="00A93075"/>
    <w:rsid w:val="00A93D4F"/>
    <w:rsid w:val="00A944BD"/>
    <w:rsid w:val="00A94E77"/>
    <w:rsid w:val="00A95AE6"/>
    <w:rsid w:val="00A960BC"/>
    <w:rsid w:val="00AA0402"/>
    <w:rsid w:val="00AA2155"/>
    <w:rsid w:val="00AA2DB5"/>
    <w:rsid w:val="00AA55FF"/>
    <w:rsid w:val="00AB110F"/>
    <w:rsid w:val="00AB2164"/>
    <w:rsid w:val="00AB2B2E"/>
    <w:rsid w:val="00AB305D"/>
    <w:rsid w:val="00AB36FC"/>
    <w:rsid w:val="00AB3D8E"/>
    <w:rsid w:val="00AB4CB1"/>
    <w:rsid w:val="00AB4DB0"/>
    <w:rsid w:val="00AB78DF"/>
    <w:rsid w:val="00AB7921"/>
    <w:rsid w:val="00AC3F40"/>
    <w:rsid w:val="00AC4DE7"/>
    <w:rsid w:val="00AC54CE"/>
    <w:rsid w:val="00AC57E7"/>
    <w:rsid w:val="00AC5B21"/>
    <w:rsid w:val="00AC7DE3"/>
    <w:rsid w:val="00AD016F"/>
    <w:rsid w:val="00AD0D46"/>
    <w:rsid w:val="00AD2117"/>
    <w:rsid w:val="00AD24DB"/>
    <w:rsid w:val="00AD4220"/>
    <w:rsid w:val="00AD5A9C"/>
    <w:rsid w:val="00AD60A8"/>
    <w:rsid w:val="00AD614A"/>
    <w:rsid w:val="00AD6216"/>
    <w:rsid w:val="00AE06FC"/>
    <w:rsid w:val="00AE22A9"/>
    <w:rsid w:val="00AE52DA"/>
    <w:rsid w:val="00AF45F8"/>
    <w:rsid w:val="00AF4C5A"/>
    <w:rsid w:val="00AF7AC9"/>
    <w:rsid w:val="00B032DC"/>
    <w:rsid w:val="00B04973"/>
    <w:rsid w:val="00B05113"/>
    <w:rsid w:val="00B07E0E"/>
    <w:rsid w:val="00B10AD5"/>
    <w:rsid w:val="00B10D62"/>
    <w:rsid w:val="00B1114F"/>
    <w:rsid w:val="00B121C7"/>
    <w:rsid w:val="00B134B1"/>
    <w:rsid w:val="00B13D6A"/>
    <w:rsid w:val="00B160B2"/>
    <w:rsid w:val="00B223B9"/>
    <w:rsid w:val="00B23B6A"/>
    <w:rsid w:val="00B25F2D"/>
    <w:rsid w:val="00B26B1A"/>
    <w:rsid w:val="00B271D9"/>
    <w:rsid w:val="00B32707"/>
    <w:rsid w:val="00B33662"/>
    <w:rsid w:val="00B37297"/>
    <w:rsid w:val="00B407CE"/>
    <w:rsid w:val="00B4199F"/>
    <w:rsid w:val="00B41C50"/>
    <w:rsid w:val="00B50E74"/>
    <w:rsid w:val="00B54A9C"/>
    <w:rsid w:val="00B56008"/>
    <w:rsid w:val="00B57F6A"/>
    <w:rsid w:val="00B6049F"/>
    <w:rsid w:val="00B61858"/>
    <w:rsid w:val="00B6299F"/>
    <w:rsid w:val="00B63A84"/>
    <w:rsid w:val="00B658B7"/>
    <w:rsid w:val="00B65ACB"/>
    <w:rsid w:val="00B676C4"/>
    <w:rsid w:val="00B677E0"/>
    <w:rsid w:val="00B747AB"/>
    <w:rsid w:val="00B8036D"/>
    <w:rsid w:val="00B806DD"/>
    <w:rsid w:val="00B8320E"/>
    <w:rsid w:val="00B85E0B"/>
    <w:rsid w:val="00B868EB"/>
    <w:rsid w:val="00B87718"/>
    <w:rsid w:val="00B87972"/>
    <w:rsid w:val="00B91051"/>
    <w:rsid w:val="00B917C3"/>
    <w:rsid w:val="00B93437"/>
    <w:rsid w:val="00B935D4"/>
    <w:rsid w:val="00B9380B"/>
    <w:rsid w:val="00BA15E4"/>
    <w:rsid w:val="00BA393E"/>
    <w:rsid w:val="00BA3A45"/>
    <w:rsid w:val="00BA4EAB"/>
    <w:rsid w:val="00BA7FD1"/>
    <w:rsid w:val="00BB441B"/>
    <w:rsid w:val="00BB56B5"/>
    <w:rsid w:val="00BB5FE8"/>
    <w:rsid w:val="00BB7F8D"/>
    <w:rsid w:val="00BC0213"/>
    <w:rsid w:val="00BC0471"/>
    <w:rsid w:val="00BC1AA7"/>
    <w:rsid w:val="00BC2F69"/>
    <w:rsid w:val="00BC4C4C"/>
    <w:rsid w:val="00BD02AC"/>
    <w:rsid w:val="00BD112F"/>
    <w:rsid w:val="00BD19D5"/>
    <w:rsid w:val="00BD2516"/>
    <w:rsid w:val="00BD2F3B"/>
    <w:rsid w:val="00BD37A8"/>
    <w:rsid w:val="00BD4CF8"/>
    <w:rsid w:val="00BD6F5B"/>
    <w:rsid w:val="00BD7976"/>
    <w:rsid w:val="00BE099E"/>
    <w:rsid w:val="00BE130B"/>
    <w:rsid w:val="00BE327C"/>
    <w:rsid w:val="00BE47B1"/>
    <w:rsid w:val="00BE6160"/>
    <w:rsid w:val="00BE7500"/>
    <w:rsid w:val="00BF00D9"/>
    <w:rsid w:val="00BF01C2"/>
    <w:rsid w:val="00BF15F6"/>
    <w:rsid w:val="00BF6335"/>
    <w:rsid w:val="00C02E63"/>
    <w:rsid w:val="00C03700"/>
    <w:rsid w:val="00C073D3"/>
    <w:rsid w:val="00C1030B"/>
    <w:rsid w:val="00C12860"/>
    <w:rsid w:val="00C14F4A"/>
    <w:rsid w:val="00C16D6B"/>
    <w:rsid w:val="00C172CA"/>
    <w:rsid w:val="00C25C38"/>
    <w:rsid w:val="00C26EDC"/>
    <w:rsid w:val="00C27358"/>
    <w:rsid w:val="00C301A6"/>
    <w:rsid w:val="00C3180E"/>
    <w:rsid w:val="00C32ABB"/>
    <w:rsid w:val="00C32EC0"/>
    <w:rsid w:val="00C40526"/>
    <w:rsid w:val="00C4171F"/>
    <w:rsid w:val="00C448BD"/>
    <w:rsid w:val="00C44EAA"/>
    <w:rsid w:val="00C46161"/>
    <w:rsid w:val="00C468EE"/>
    <w:rsid w:val="00C47A27"/>
    <w:rsid w:val="00C519B6"/>
    <w:rsid w:val="00C51A2C"/>
    <w:rsid w:val="00C52633"/>
    <w:rsid w:val="00C530B0"/>
    <w:rsid w:val="00C53AD8"/>
    <w:rsid w:val="00C55368"/>
    <w:rsid w:val="00C55AC6"/>
    <w:rsid w:val="00C5673C"/>
    <w:rsid w:val="00C56E8B"/>
    <w:rsid w:val="00C57DD5"/>
    <w:rsid w:val="00C602C2"/>
    <w:rsid w:val="00C60368"/>
    <w:rsid w:val="00C6197B"/>
    <w:rsid w:val="00C61E89"/>
    <w:rsid w:val="00C635BA"/>
    <w:rsid w:val="00C63C18"/>
    <w:rsid w:val="00C66044"/>
    <w:rsid w:val="00C70BCE"/>
    <w:rsid w:val="00C70CFD"/>
    <w:rsid w:val="00C742DA"/>
    <w:rsid w:val="00C74D2D"/>
    <w:rsid w:val="00C75B41"/>
    <w:rsid w:val="00C75DBF"/>
    <w:rsid w:val="00C76D1D"/>
    <w:rsid w:val="00C76F70"/>
    <w:rsid w:val="00C771F9"/>
    <w:rsid w:val="00C80DD1"/>
    <w:rsid w:val="00C81828"/>
    <w:rsid w:val="00C84B1D"/>
    <w:rsid w:val="00C93A47"/>
    <w:rsid w:val="00CA1017"/>
    <w:rsid w:val="00CA1729"/>
    <w:rsid w:val="00CA3913"/>
    <w:rsid w:val="00CA3F23"/>
    <w:rsid w:val="00CA43AA"/>
    <w:rsid w:val="00CA4A43"/>
    <w:rsid w:val="00CA4B6A"/>
    <w:rsid w:val="00CB1AC2"/>
    <w:rsid w:val="00CB27DC"/>
    <w:rsid w:val="00CB5866"/>
    <w:rsid w:val="00CB5DEE"/>
    <w:rsid w:val="00CC18B4"/>
    <w:rsid w:val="00CC1A73"/>
    <w:rsid w:val="00CC1C81"/>
    <w:rsid w:val="00CC3127"/>
    <w:rsid w:val="00CC6CD5"/>
    <w:rsid w:val="00CC7455"/>
    <w:rsid w:val="00CD0020"/>
    <w:rsid w:val="00CD0C02"/>
    <w:rsid w:val="00CD0DA6"/>
    <w:rsid w:val="00CD1D45"/>
    <w:rsid w:val="00CD6439"/>
    <w:rsid w:val="00CD7E03"/>
    <w:rsid w:val="00CD7F9D"/>
    <w:rsid w:val="00CE3BB9"/>
    <w:rsid w:val="00CE46B4"/>
    <w:rsid w:val="00CE4EF3"/>
    <w:rsid w:val="00CE4F38"/>
    <w:rsid w:val="00CE66CB"/>
    <w:rsid w:val="00CE6DE6"/>
    <w:rsid w:val="00CE7E53"/>
    <w:rsid w:val="00CF1AB5"/>
    <w:rsid w:val="00CF2DA1"/>
    <w:rsid w:val="00CF3764"/>
    <w:rsid w:val="00CF4E7B"/>
    <w:rsid w:val="00CF5847"/>
    <w:rsid w:val="00CF6528"/>
    <w:rsid w:val="00CF67E2"/>
    <w:rsid w:val="00D0139F"/>
    <w:rsid w:val="00D0195A"/>
    <w:rsid w:val="00D01F85"/>
    <w:rsid w:val="00D022FB"/>
    <w:rsid w:val="00D03C0B"/>
    <w:rsid w:val="00D05A8A"/>
    <w:rsid w:val="00D133C2"/>
    <w:rsid w:val="00D20227"/>
    <w:rsid w:val="00D207AC"/>
    <w:rsid w:val="00D21444"/>
    <w:rsid w:val="00D23FB3"/>
    <w:rsid w:val="00D25EA7"/>
    <w:rsid w:val="00D30146"/>
    <w:rsid w:val="00D37262"/>
    <w:rsid w:val="00D402CC"/>
    <w:rsid w:val="00D40665"/>
    <w:rsid w:val="00D42C05"/>
    <w:rsid w:val="00D45C0E"/>
    <w:rsid w:val="00D461F1"/>
    <w:rsid w:val="00D50A4C"/>
    <w:rsid w:val="00D52707"/>
    <w:rsid w:val="00D545B0"/>
    <w:rsid w:val="00D56F31"/>
    <w:rsid w:val="00D571CE"/>
    <w:rsid w:val="00D6009C"/>
    <w:rsid w:val="00D6081F"/>
    <w:rsid w:val="00D60BAB"/>
    <w:rsid w:val="00D6184F"/>
    <w:rsid w:val="00D634A5"/>
    <w:rsid w:val="00D7021B"/>
    <w:rsid w:val="00D70EB5"/>
    <w:rsid w:val="00D72650"/>
    <w:rsid w:val="00D72789"/>
    <w:rsid w:val="00D729E9"/>
    <w:rsid w:val="00D72B52"/>
    <w:rsid w:val="00D7424E"/>
    <w:rsid w:val="00D743A8"/>
    <w:rsid w:val="00D778C7"/>
    <w:rsid w:val="00D84262"/>
    <w:rsid w:val="00D863AA"/>
    <w:rsid w:val="00D8691F"/>
    <w:rsid w:val="00D93E52"/>
    <w:rsid w:val="00D94451"/>
    <w:rsid w:val="00D9490A"/>
    <w:rsid w:val="00D94AAE"/>
    <w:rsid w:val="00DA09A4"/>
    <w:rsid w:val="00DA1B1D"/>
    <w:rsid w:val="00DA1EC6"/>
    <w:rsid w:val="00DB000B"/>
    <w:rsid w:val="00DB5085"/>
    <w:rsid w:val="00DB672E"/>
    <w:rsid w:val="00DC13B0"/>
    <w:rsid w:val="00DC1FCD"/>
    <w:rsid w:val="00DC28D2"/>
    <w:rsid w:val="00DD0C09"/>
    <w:rsid w:val="00DD1EAC"/>
    <w:rsid w:val="00DD32FC"/>
    <w:rsid w:val="00DD393B"/>
    <w:rsid w:val="00DD4561"/>
    <w:rsid w:val="00DD4AAD"/>
    <w:rsid w:val="00DD6164"/>
    <w:rsid w:val="00DE0A0D"/>
    <w:rsid w:val="00DE26F6"/>
    <w:rsid w:val="00DE2FED"/>
    <w:rsid w:val="00DE4030"/>
    <w:rsid w:val="00DE42BA"/>
    <w:rsid w:val="00DE5173"/>
    <w:rsid w:val="00DE7126"/>
    <w:rsid w:val="00DF35D4"/>
    <w:rsid w:val="00DF5ED7"/>
    <w:rsid w:val="00DF6B8F"/>
    <w:rsid w:val="00E01CF5"/>
    <w:rsid w:val="00E05633"/>
    <w:rsid w:val="00E06783"/>
    <w:rsid w:val="00E119D5"/>
    <w:rsid w:val="00E11F70"/>
    <w:rsid w:val="00E13184"/>
    <w:rsid w:val="00E134AF"/>
    <w:rsid w:val="00E14A4A"/>
    <w:rsid w:val="00E21373"/>
    <w:rsid w:val="00E213D2"/>
    <w:rsid w:val="00E231CF"/>
    <w:rsid w:val="00E2408B"/>
    <w:rsid w:val="00E24357"/>
    <w:rsid w:val="00E25893"/>
    <w:rsid w:val="00E25A4D"/>
    <w:rsid w:val="00E268C4"/>
    <w:rsid w:val="00E269DA"/>
    <w:rsid w:val="00E27630"/>
    <w:rsid w:val="00E27BE5"/>
    <w:rsid w:val="00E301E6"/>
    <w:rsid w:val="00E305B8"/>
    <w:rsid w:val="00E32E00"/>
    <w:rsid w:val="00E333E2"/>
    <w:rsid w:val="00E33F79"/>
    <w:rsid w:val="00E37CA1"/>
    <w:rsid w:val="00E41902"/>
    <w:rsid w:val="00E4336A"/>
    <w:rsid w:val="00E44CF9"/>
    <w:rsid w:val="00E5032E"/>
    <w:rsid w:val="00E50C01"/>
    <w:rsid w:val="00E50F67"/>
    <w:rsid w:val="00E51A14"/>
    <w:rsid w:val="00E52BE7"/>
    <w:rsid w:val="00E533BC"/>
    <w:rsid w:val="00E57DBC"/>
    <w:rsid w:val="00E629F9"/>
    <w:rsid w:val="00E64EBB"/>
    <w:rsid w:val="00E66C1A"/>
    <w:rsid w:val="00E66FC4"/>
    <w:rsid w:val="00E7022F"/>
    <w:rsid w:val="00E724FF"/>
    <w:rsid w:val="00E75D7C"/>
    <w:rsid w:val="00E76286"/>
    <w:rsid w:val="00E768A1"/>
    <w:rsid w:val="00E80371"/>
    <w:rsid w:val="00E85ADB"/>
    <w:rsid w:val="00E86698"/>
    <w:rsid w:val="00E93E7D"/>
    <w:rsid w:val="00E941F7"/>
    <w:rsid w:val="00E974ED"/>
    <w:rsid w:val="00EA154D"/>
    <w:rsid w:val="00EA3D22"/>
    <w:rsid w:val="00EA53FB"/>
    <w:rsid w:val="00EA5D06"/>
    <w:rsid w:val="00EB0C8D"/>
    <w:rsid w:val="00EB206A"/>
    <w:rsid w:val="00EB4633"/>
    <w:rsid w:val="00EB6D6D"/>
    <w:rsid w:val="00EC1732"/>
    <w:rsid w:val="00EC3F66"/>
    <w:rsid w:val="00EC5223"/>
    <w:rsid w:val="00EC7D2D"/>
    <w:rsid w:val="00ED388A"/>
    <w:rsid w:val="00ED39FD"/>
    <w:rsid w:val="00ED3EEF"/>
    <w:rsid w:val="00ED684E"/>
    <w:rsid w:val="00ED69F4"/>
    <w:rsid w:val="00EE651B"/>
    <w:rsid w:val="00EF1758"/>
    <w:rsid w:val="00EF6F8F"/>
    <w:rsid w:val="00F00506"/>
    <w:rsid w:val="00F00D26"/>
    <w:rsid w:val="00F014E7"/>
    <w:rsid w:val="00F0360C"/>
    <w:rsid w:val="00F06AE8"/>
    <w:rsid w:val="00F07189"/>
    <w:rsid w:val="00F07C08"/>
    <w:rsid w:val="00F149B8"/>
    <w:rsid w:val="00F223EE"/>
    <w:rsid w:val="00F23F24"/>
    <w:rsid w:val="00F24FAA"/>
    <w:rsid w:val="00F278A6"/>
    <w:rsid w:val="00F31925"/>
    <w:rsid w:val="00F321D7"/>
    <w:rsid w:val="00F3370B"/>
    <w:rsid w:val="00F35617"/>
    <w:rsid w:val="00F368AC"/>
    <w:rsid w:val="00F3708A"/>
    <w:rsid w:val="00F42D8E"/>
    <w:rsid w:val="00F50F3F"/>
    <w:rsid w:val="00F52C1E"/>
    <w:rsid w:val="00F5319D"/>
    <w:rsid w:val="00F53F7C"/>
    <w:rsid w:val="00F560E4"/>
    <w:rsid w:val="00F562DE"/>
    <w:rsid w:val="00F57F1D"/>
    <w:rsid w:val="00F62694"/>
    <w:rsid w:val="00F62810"/>
    <w:rsid w:val="00F6315E"/>
    <w:rsid w:val="00F63F01"/>
    <w:rsid w:val="00F64925"/>
    <w:rsid w:val="00F71B7A"/>
    <w:rsid w:val="00F7375F"/>
    <w:rsid w:val="00F73E0A"/>
    <w:rsid w:val="00F75474"/>
    <w:rsid w:val="00F76653"/>
    <w:rsid w:val="00F80766"/>
    <w:rsid w:val="00F8163E"/>
    <w:rsid w:val="00F81DA8"/>
    <w:rsid w:val="00F82EE1"/>
    <w:rsid w:val="00F84687"/>
    <w:rsid w:val="00F91283"/>
    <w:rsid w:val="00F918B3"/>
    <w:rsid w:val="00F944C7"/>
    <w:rsid w:val="00F94EEE"/>
    <w:rsid w:val="00F9517B"/>
    <w:rsid w:val="00F9580E"/>
    <w:rsid w:val="00F95B0C"/>
    <w:rsid w:val="00F95F41"/>
    <w:rsid w:val="00FA1C18"/>
    <w:rsid w:val="00FA2823"/>
    <w:rsid w:val="00FA36B0"/>
    <w:rsid w:val="00FA3A2F"/>
    <w:rsid w:val="00FA48C3"/>
    <w:rsid w:val="00FA5AEA"/>
    <w:rsid w:val="00FA632C"/>
    <w:rsid w:val="00FA6BE4"/>
    <w:rsid w:val="00FB0372"/>
    <w:rsid w:val="00FB137D"/>
    <w:rsid w:val="00FB20F5"/>
    <w:rsid w:val="00FB290F"/>
    <w:rsid w:val="00FB4A17"/>
    <w:rsid w:val="00FB6E2F"/>
    <w:rsid w:val="00FC0EAC"/>
    <w:rsid w:val="00FC1806"/>
    <w:rsid w:val="00FC2874"/>
    <w:rsid w:val="00FC2BBE"/>
    <w:rsid w:val="00FC3AE6"/>
    <w:rsid w:val="00FC747C"/>
    <w:rsid w:val="00FD03A6"/>
    <w:rsid w:val="00FD14C3"/>
    <w:rsid w:val="00FD624B"/>
    <w:rsid w:val="00FD6665"/>
    <w:rsid w:val="00FD66E9"/>
    <w:rsid w:val="00FD784B"/>
    <w:rsid w:val="00FD7BC7"/>
    <w:rsid w:val="00FE0BDF"/>
    <w:rsid w:val="00FE1870"/>
    <w:rsid w:val="00FE287D"/>
    <w:rsid w:val="00FE3468"/>
    <w:rsid w:val="00FE4249"/>
    <w:rsid w:val="00FE46F8"/>
    <w:rsid w:val="00FE5300"/>
    <w:rsid w:val="00FE75C5"/>
    <w:rsid w:val="00FE7E76"/>
    <w:rsid w:val="00FE7F2D"/>
    <w:rsid w:val="00FF0A97"/>
    <w:rsid w:val="00FF1817"/>
    <w:rsid w:val="00FF3A17"/>
    <w:rsid w:val="00FF4047"/>
    <w:rsid w:val="00FF5EBE"/>
    <w:rsid w:val="00FF6046"/>
    <w:rsid w:val="00FF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D0F200"/>
  <w15:docId w15:val="{98C1B773-0700-4E31-A238-770E4032B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qFormat/>
    <w:rsid w:val="00FF6E77"/>
    <w:pPr>
      <w:keepNext/>
      <w:numPr>
        <w:numId w:val="1"/>
      </w:numPr>
      <w:spacing w:before="36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B677E0"/>
    <w:pPr>
      <w:keepNext/>
      <w:numPr>
        <w:ilvl w:val="1"/>
        <w:numId w:val="1"/>
      </w:numPr>
      <w:spacing w:before="360" w:after="120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uiPriority w:val="99"/>
    <w:qFormat/>
    <w:rsid w:val="00B677E0"/>
    <w:pPr>
      <w:keepNext/>
      <w:numPr>
        <w:ilvl w:val="2"/>
        <w:numId w:val="1"/>
      </w:numPr>
      <w:spacing w:before="360" w:after="60"/>
      <w:ind w:left="1049"/>
      <w:outlineLvl w:val="2"/>
    </w:pPr>
    <w:rPr>
      <w:rFonts w:cs="Arial"/>
      <w:b/>
      <w:bCs/>
      <w:color w:val="336699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A261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E37CA1"/>
    <w:pPr>
      <w:keepNext/>
      <w:spacing w:before="240"/>
      <w:ind w:left="1008" w:hanging="1008"/>
      <w:jc w:val="left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37CA1"/>
    <w:pPr>
      <w:spacing w:before="240" w:after="60"/>
      <w:ind w:left="720" w:hanging="720"/>
      <w:jc w:val="left"/>
      <w:outlineLvl w:val="5"/>
    </w:pPr>
    <w:rPr>
      <w:rFonts w:ascii="Verdana" w:eastAsia="MS Mincho" w:hAnsi="Verdana"/>
      <w:b/>
      <w:bCs/>
      <w:szCs w:val="22"/>
      <w:lang w:eastAsia="en-US"/>
    </w:rPr>
  </w:style>
  <w:style w:type="paragraph" w:styleId="Nadpis7">
    <w:name w:val="heading 7"/>
    <w:basedOn w:val="MainText"/>
    <w:next w:val="MainText"/>
    <w:link w:val="Nadpis7Char"/>
    <w:uiPriority w:val="99"/>
    <w:qFormat/>
    <w:rsid w:val="00E37CA1"/>
    <w:pPr>
      <w:keepNext/>
      <w:tabs>
        <w:tab w:val="num" w:pos="2877"/>
      </w:tabs>
      <w:spacing w:after="110" w:line="220" w:lineRule="exact"/>
      <w:ind w:left="2877" w:hanging="360"/>
      <w:outlineLvl w:val="6"/>
    </w:pPr>
    <w:rPr>
      <w:rFonts w:cs="Arial"/>
      <w:b/>
      <w:bCs/>
      <w:sz w:val="22"/>
    </w:rPr>
  </w:style>
  <w:style w:type="paragraph" w:styleId="Nadpis8">
    <w:name w:val="heading 8"/>
    <w:basedOn w:val="MainText"/>
    <w:next w:val="MainText"/>
    <w:link w:val="Nadpis8Char"/>
    <w:uiPriority w:val="99"/>
    <w:qFormat/>
    <w:rsid w:val="00E37CA1"/>
    <w:pPr>
      <w:tabs>
        <w:tab w:val="num" w:pos="3237"/>
      </w:tabs>
      <w:spacing w:after="60"/>
      <w:ind w:left="720" w:hanging="72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E37CA1"/>
    <w:pPr>
      <w:spacing w:before="240" w:after="60"/>
      <w:ind w:left="720" w:hanging="720"/>
      <w:jc w:val="left"/>
      <w:outlineLvl w:val="8"/>
    </w:pPr>
    <w:rPr>
      <w:rFonts w:ascii="Verdana" w:eastAsia="MS Mincho" w:hAnsi="Verdana" w:cs="Arial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D778C7"/>
    <w:pPr>
      <w:spacing w:before="360" w:after="60"/>
    </w:pPr>
    <w:rPr>
      <w:b/>
      <w:bCs/>
      <w:sz w:val="20"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paragraph" w:styleId="Textbubliny">
    <w:name w:val="Balloon Text"/>
    <w:basedOn w:val="Normln"/>
    <w:link w:val="TextbublinyChar"/>
    <w:rsid w:val="00BF15F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F15F6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A261A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customStyle="1" w:styleId="StylPed3b">
    <w:name w:val="Styl Před:  3 b."/>
    <w:basedOn w:val="Normln"/>
    <w:rsid w:val="00A261A9"/>
    <w:pPr>
      <w:spacing w:before="60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rsid w:val="00764220"/>
    <w:rPr>
      <w:rFonts w:asciiTheme="minorHAnsi" w:hAnsiTheme="minorHAnsi"/>
      <w:noProof/>
      <w:color w:val="0000FF" w:themeColor="hyperlink"/>
      <w:sz w:val="22"/>
      <w:szCs w:val="22"/>
      <w:u w:val="single"/>
    </w:rPr>
  </w:style>
  <w:style w:type="paragraph" w:customStyle="1" w:styleId="Normln3b">
    <w:name w:val="Normální 3b"/>
    <w:basedOn w:val="Normln"/>
    <w:next w:val="Normln"/>
    <w:qFormat/>
    <w:rsid w:val="00A261A9"/>
    <w:pPr>
      <w:spacing w:before="60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qFormat/>
    <w:rsid w:val="00764220"/>
    <w:pPr>
      <w:tabs>
        <w:tab w:val="right" w:leader="dot" w:pos="9072"/>
      </w:tabs>
    </w:pPr>
    <w:rPr>
      <w:noProof/>
      <w:szCs w:val="22"/>
    </w:rPr>
  </w:style>
  <w:style w:type="paragraph" w:styleId="Obsah2">
    <w:name w:val="toc 2"/>
    <w:basedOn w:val="Normln"/>
    <w:next w:val="Normln"/>
    <w:autoRedefine/>
    <w:uiPriority w:val="39"/>
    <w:qFormat/>
    <w:rsid w:val="00B677E0"/>
    <w:pPr>
      <w:tabs>
        <w:tab w:val="right" w:leader="dot" w:pos="9072"/>
      </w:tabs>
      <w:ind w:left="227"/>
    </w:pPr>
    <w:rPr>
      <w:noProof/>
    </w:rPr>
  </w:style>
  <w:style w:type="paragraph" w:styleId="Nadpisobsahu">
    <w:name w:val="TOC Heading"/>
    <w:basedOn w:val="Nadpis1"/>
    <w:next w:val="Normln"/>
    <w:uiPriority w:val="39"/>
    <w:qFormat/>
    <w:rsid w:val="007B33EA"/>
    <w:pPr>
      <w:keepLines/>
      <w:pageBreakBefore/>
      <w:numPr>
        <w:numId w:val="0"/>
      </w:numPr>
      <w:spacing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Obsah3">
    <w:name w:val="toc 3"/>
    <w:basedOn w:val="Normln"/>
    <w:next w:val="Normln"/>
    <w:autoRedefine/>
    <w:uiPriority w:val="39"/>
    <w:qFormat/>
    <w:rsid w:val="00764220"/>
    <w:pPr>
      <w:tabs>
        <w:tab w:val="right" w:leader="dot" w:pos="9072"/>
      </w:tabs>
      <w:ind w:left="480"/>
    </w:pPr>
  </w:style>
  <w:style w:type="paragraph" w:styleId="Seznamobrzk">
    <w:name w:val="table of figures"/>
    <w:basedOn w:val="Normln"/>
    <w:next w:val="Normln"/>
    <w:uiPriority w:val="99"/>
    <w:unhideWhenUsed/>
    <w:rsid w:val="002E5BEE"/>
  </w:style>
  <w:style w:type="paragraph" w:customStyle="1" w:styleId="TabulkaTunzarovnnnasted">
    <w:name w:val="Tabulka Tučné zarovnání na střed"/>
    <w:basedOn w:val="Normln"/>
    <w:rsid w:val="0014291E"/>
    <w:pPr>
      <w:spacing w:before="0"/>
      <w:jc w:val="center"/>
    </w:pPr>
    <w:rPr>
      <w:rFonts w:ascii="Times New Roman" w:hAnsi="Times New Roman"/>
      <w:b/>
      <w:bCs/>
    </w:rPr>
  </w:style>
  <w:style w:type="paragraph" w:customStyle="1" w:styleId="Tabulkazarovnnvlevo">
    <w:name w:val="Tabulka zarovnání vlevo"/>
    <w:basedOn w:val="Normln"/>
    <w:rsid w:val="0014291E"/>
    <w:pPr>
      <w:spacing w:before="0"/>
      <w:ind w:left="57"/>
      <w:jc w:val="left"/>
    </w:pPr>
    <w:rPr>
      <w:rFonts w:ascii="Times New Roman" w:hAnsi="Times New Roman"/>
    </w:rPr>
  </w:style>
  <w:style w:type="paragraph" w:customStyle="1" w:styleId="TabulkaTunzarovnnvlevo">
    <w:name w:val="Tabulka Tučné zarovnání vlevo"/>
    <w:basedOn w:val="Tabulkazarovnnvlevo"/>
    <w:rsid w:val="0014291E"/>
    <w:rPr>
      <w:b/>
      <w:bCs/>
    </w:rPr>
  </w:style>
  <w:style w:type="paragraph" w:customStyle="1" w:styleId="Tabulkazarovnnnasted">
    <w:name w:val="Tabulka zarovnání na střed"/>
    <w:basedOn w:val="Normln"/>
    <w:rsid w:val="0014291E"/>
    <w:pPr>
      <w:spacing w:before="0"/>
      <w:jc w:val="center"/>
    </w:pPr>
    <w:rPr>
      <w:rFonts w:ascii="Times New Roman" w:hAnsi="Times New Roman"/>
    </w:rPr>
  </w:style>
  <w:style w:type="character" w:customStyle="1" w:styleId="ab10">
    <w:name w:val="ab10"/>
    <w:basedOn w:val="Standardnpsmoodstavce"/>
    <w:rsid w:val="00534AA0"/>
  </w:style>
  <w:style w:type="paragraph" w:customStyle="1" w:styleId="Poznmka">
    <w:name w:val="Poznámka"/>
    <w:basedOn w:val="Normln"/>
    <w:next w:val="Titulek"/>
    <w:qFormat/>
    <w:rsid w:val="002706F1"/>
    <w:pPr>
      <w:keepLines/>
      <w:tabs>
        <w:tab w:val="left" w:pos="624"/>
        <w:tab w:val="center" w:pos="4320"/>
        <w:tab w:val="right" w:pos="8640"/>
      </w:tabs>
      <w:spacing w:after="120"/>
      <w:contextualSpacing/>
    </w:pPr>
    <w:rPr>
      <w:rFonts w:ascii="Calibri" w:hAnsi="Calibri"/>
      <w:i/>
      <w:kern w:val="28"/>
      <w:sz w:val="20"/>
    </w:rPr>
  </w:style>
  <w:style w:type="paragraph" w:customStyle="1" w:styleId="Tabulkazarovnnvpravo05cm">
    <w:name w:val="Tabulka zarovnání vpravo 05 cm"/>
    <w:basedOn w:val="Normln"/>
    <w:rsid w:val="00C602C2"/>
    <w:pPr>
      <w:spacing w:before="0"/>
      <w:ind w:right="284"/>
      <w:jc w:val="right"/>
    </w:pPr>
    <w:rPr>
      <w:rFonts w:ascii="Times New Roman" w:hAnsi="Times New Roman"/>
    </w:rPr>
  </w:style>
  <w:style w:type="character" w:customStyle="1" w:styleId="Nadpis2Char">
    <w:name w:val="Nadpis 2 Char"/>
    <w:basedOn w:val="Standardnpsmoodstavce"/>
    <w:link w:val="Nadpis2"/>
    <w:uiPriority w:val="99"/>
    <w:rsid w:val="00FC2874"/>
    <w:rPr>
      <w:rFonts w:asciiTheme="minorHAnsi" w:hAnsiTheme="minorHAnsi" w:cs="Arial"/>
      <w:b/>
      <w:bCs/>
      <w:iCs/>
      <w:color w:val="336699"/>
      <w:sz w:val="28"/>
      <w:szCs w:val="28"/>
    </w:rPr>
  </w:style>
  <w:style w:type="paragraph" w:customStyle="1" w:styleId="Tabulkazarovnnvpravo02cm">
    <w:name w:val="Tabulka zarovnání vpravo 02 cm"/>
    <w:basedOn w:val="Tabulkazarovnnvpravo05cm"/>
    <w:rsid w:val="00D7021B"/>
    <w:pPr>
      <w:ind w:right="113"/>
    </w:pPr>
  </w:style>
  <w:style w:type="character" w:styleId="Znakapoznpodarou">
    <w:name w:val="footnote reference"/>
    <w:aliases w:val="EN Footnote Reference"/>
    <w:basedOn w:val="Standardnpsmoodstavce"/>
    <w:uiPriority w:val="99"/>
    <w:rsid w:val="00FB137D"/>
    <w:rPr>
      <w:vertAlign w:val="superscript"/>
    </w:rPr>
  </w:style>
  <w:style w:type="paragraph" w:styleId="Textpoznpodarou">
    <w:name w:val="footnote text"/>
    <w:basedOn w:val="Normln"/>
    <w:link w:val="TextpoznpodarouChar1"/>
    <w:uiPriority w:val="99"/>
    <w:qFormat/>
    <w:rsid w:val="009C492E"/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uiPriority w:val="99"/>
    <w:rsid w:val="009C492E"/>
    <w:rPr>
      <w:rFonts w:asciiTheme="minorHAnsi" w:hAnsiTheme="minorHAnsi"/>
    </w:rPr>
  </w:style>
  <w:style w:type="character" w:customStyle="1" w:styleId="TextpoznpodarouChar1">
    <w:name w:val="Text pozn. pod čarou Char1"/>
    <w:basedOn w:val="Standardnpsmoodstavce"/>
    <w:link w:val="Textpoznpodarou"/>
    <w:rsid w:val="009C492E"/>
  </w:style>
  <w:style w:type="table" w:styleId="Mkatabulky">
    <w:name w:val="Table Grid"/>
    <w:basedOn w:val="Normlntabulka"/>
    <w:rsid w:val="00577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zarovnnvlevo03">
    <w:name w:val="Tabulka zarovnání vlevo 03"/>
    <w:basedOn w:val="Tabulkazarovnnvlevo"/>
    <w:qFormat/>
    <w:rsid w:val="00D56F31"/>
    <w:pPr>
      <w:ind w:left="170"/>
    </w:pPr>
  </w:style>
  <w:style w:type="paragraph" w:customStyle="1" w:styleId="Tabulkazarovnnvpravo07cm">
    <w:name w:val="Tabulka zarovnání vpravo 07 cm"/>
    <w:basedOn w:val="Tabulkazarovnnvpravo02cm"/>
    <w:rsid w:val="00054172"/>
    <w:pPr>
      <w:ind w:right="510"/>
    </w:pPr>
  </w:style>
  <w:style w:type="character" w:styleId="Odkaznakoment">
    <w:name w:val="annotation reference"/>
    <w:basedOn w:val="Standardnpsmoodstavce"/>
    <w:rsid w:val="00FF0A97"/>
    <w:rPr>
      <w:sz w:val="16"/>
      <w:szCs w:val="16"/>
    </w:rPr>
  </w:style>
  <w:style w:type="paragraph" w:styleId="Textkomente">
    <w:name w:val="annotation text"/>
    <w:basedOn w:val="Normln"/>
    <w:link w:val="TextkomenteChar"/>
    <w:rsid w:val="00FF0A97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FF0A97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FF0A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F0A97"/>
    <w:rPr>
      <w:rFonts w:asciiTheme="minorHAnsi" w:hAnsiTheme="minorHAnsi"/>
      <w:b/>
      <w:bCs/>
    </w:rPr>
  </w:style>
  <w:style w:type="paragraph" w:styleId="Normlnweb">
    <w:name w:val="Normal (Web)"/>
    <w:basedOn w:val="Normln"/>
    <w:uiPriority w:val="99"/>
    <w:rsid w:val="002B66A4"/>
    <w:rPr>
      <w:rFonts w:ascii="Times New Roman" w:hAnsi="Times New Roman"/>
      <w:sz w:val="24"/>
      <w:szCs w:val="24"/>
    </w:rPr>
  </w:style>
  <w:style w:type="paragraph" w:customStyle="1" w:styleId="nadpis40">
    <w:name w:val="nadpis 4"/>
    <w:basedOn w:val="Nzev"/>
    <w:link w:val="nadpis4Char0"/>
    <w:qFormat/>
    <w:rsid w:val="004803E5"/>
    <w:pPr>
      <w:pBdr>
        <w:bottom w:val="none" w:sz="0" w:space="0" w:color="auto"/>
      </w:pBdr>
      <w:spacing w:before="240" w:after="120"/>
      <w:ind w:left="567"/>
      <w:contextualSpacing w:val="0"/>
    </w:pPr>
    <w:rPr>
      <w:rFonts w:ascii="Times New Roman" w:eastAsia="Times New Roman" w:hAnsi="Times New Roman" w:cs="Times New Roman"/>
      <w:b/>
      <w:color w:val="auto"/>
      <w:spacing w:val="0"/>
      <w:kern w:val="0"/>
      <w:sz w:val="24"/>
      <w:szCs w:val="28"/>
    </w:rPr>
  </w:style>
  <w:style w:type="character" w:customStyle="1" w:styleId="nadpis4Char0">
    <w:name w:val="nadpis 4 Char"/>
    <w:basedOn w:val="Standardnpsmoodstavce"/>
    <w:link w:val="nadpis40"/>
    <w:rsid w:val="004803E5"/>
    <w:rPr>
      <w:b/>
      <w:sz w:val="24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E37CA1"/>
    <w:rPr>
      <w:rFonts w:ascii="Arial" w:eastAsia="MS Mincho" w:hAnsi="Arial" w:cs="Arial"/>
      <w:b/>
      <w:bCs/>
      <w:i/>
      <w:sz w:val="18"/>
      <w:szCs w:val="1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rsid w:val="00E37CA1"/>
    <w:rPr>
      <w:rFonts w:ascii="Verdana" w:eastAsia="MS Mincho" w:hAnsi="Verdana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rsid w:val="00E37CA1"/>
    <w:rPr>
      <w:rFonts w:ascii="Verdana" w:eastAsia="MS Mincho" w:hAnsi="Verdana" w:cs="Arial"/>
      <w:b/>
      <w:bCs/>
      <w:sz w:val="22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E37CA1"/>
    <w:rPr>
      <w:rFonts w:ascii="Verdana" w:eastAsia="MS Mincho" w:hAnsi="Verdana"/>
      <w:i/>
      <w:iCs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rsid w:val="00E37CA1"/>
    <w:rPr>
      <w:rFonts w:ascii="Verdana" w:eastAsia="MS Mincho" w:hAnsi="Verdana" w:cs="Arial"/>
      <w:sz w:val="22"/>
      <w:szCs w:val="22"/>
      <w:lang w:eastAsia="en-US"/>
    </w:rPr>
  </w:style>
  <w:style w:type="paragraph" w:customStyle="1" w:styleId="MainText">
    <w:name w:val="Main Text"/>
    <w:basedOn w:val="Normln"/>
    <w:link w:val="MainTextChar"/>
    <w:rsid w:val="00E37CA1"/>
    <w:pPr>
      <w:spacing w:before="240"/>
    </w:pPr>
    <w:rPr>
      <w:rFonts w:ascii="Verdana" w:eastAsia="MS Mincho" w:hAnsi="Verdana"/>
      <w:sz w:val="20"/>
      <w:szCs w:val="24"/>
      <w:lang w:eastAsia="en-US"/>
    </w:rPr>
  </w:style>
  <w:style w:type="character" w:customStyle="1" w:styleId="MainTextChar">
    <w:name w:val="Main Text Char"/>
    <w:link w:val="MainText"/>
    <w:locked/>
    <w:rsid w:val="00E37CA1"/>
    <w:rPr>
      <w:rFonts w:ascii="Verdana" w:eastAsia="MS Mincho" w:hAnsi="Verdana"/>
      <w:szCs w:val="24"/>
      <w:lang w:eastAsia="en-US"/>
    </w:rPr>
  </w:style>
  <w:style w:type="paragraph" w:customStyle="1" w:styleId="FigureHeading">
    <w:name w:val="Figure Heading"/>
    <w:basedOn w:val="MainText"/>
    <w:next w:val="MainText"/>
    <w:rsid w:val="00E37CA1"/>
    <w:pPr>
      <w:keepNext/>
      <w:numPr>
        <w:numId w:val="5"/>
      </w:numPr>
      <w:tabs>
        <w:tab w:val="clear" w:pos="1800"/>
      </w:tabs>
      <w:spacing w:before="360" w:after="120"/>
      <w:ind w:left="720" w:hanging="720"/>
    </w:pPr>
    <w:rPr>
      <w:rFonts w:cs="Arial"/>
      <w:b/>
      <w:bCs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0B7DF0"/>
    <w:rPr>
      <w:rFonts w:asciiTheme="minorHAnsi" w:hAnsiTheme="minorHAnsi"/>
      <w:sz w:val="22"/>
    </w:rPr>
  </w:style>
  <w:style w:type="paragraph" w:customStyle="1" w:styleId="Default">
    <w:name w:val="Default"/>
    <w:rsid w:val="00C25C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o-world.org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38AF0-5D51-4EE7-8A8D-42C43C46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15</Pages>
  <Words>3593</Words>
  <Characters>21202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PORSENNA o.p.s.</dc:creator>
  <cp:lastModifiedBy>Jiří Mazáček</cp:lastModifiedBy>
  <cp:revision>10</cp:revision>
  <cp:lastPrinted>2013-06-19T14:43:00Z</cp:lastPrinted>
  <dcterms:created xsi:type="dcterms:W3CDTF">2020-10-08T19:07:00Z</dcterms:created>
  <dcterms:modified xsi:type="dcterms:W3CDTF">2020-11-18T20:00:00Z</dcterms:modified>
</cp:coreProperties>
</file>